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5A" w:rsidRDefault="00453AA2" w:rsidP="00453AA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齐鲁工业</w:t>
      </w:r>
      <w:r w:rsidRPr="00453AA2">
        <w:rPr>
          <w:rFonts w:asciiTheme="minorEastAsia" w:eastAsiaTheme="minorEastAsia" w:hAnsiTheme="minorEastAsia" w:hint="eastAsia"/>
          <w:b/>
          <w:sz w:val="28"/>
          <w:szCs w:val="28"/>
        </w:rPr>
        <w:t>大学</w:t>
      </w:r>
      <w:r w:rsidR="00523F22">
        <w:rPr>
          <w:rFonts w:asciiTheme="minorEastAsia" w:eastAsiaTheme="minorEastAsia" w:hAnsiTheme="minorEastAsia" w:hint="eastAsia"/>
          <w:b/>
          <w:sz w:val="28"/>
          <w:szCs w:val="28"/>
        </w:rPr>
        <w:t>综合</w:t>
      </w:r>
      <w:r w:rsidRPr="00453AA2">
        <w:rPr>
          <w:rFonts w:asciiTheme="minorEastAsia" w:eastAsiaTheme="minorEastAsia" w:hAnsiTheme="minorEastAsia" w:hint="eastAsia"/>
          <w:b/>
          <w:sz w:val="28"/>
          <w:szCs w:val="28"/>
        </w:rPr>
        <w:t>排名</w:t>
      </w:r>
      <w:r w:rsidR="007A1342">
        <w:rPr>
          <w:rFonts w:asciiTheme="minorEastAsia" w:eastAsiaTheme="minorEastAsia" w:hAnsiTheme="minorEastAsia" w:hint="eastAsia"/>
          <w:b/>
          <w:sz w:val="28"/>
          <w:szCs w:val="28"/>
        </w:rPr>
        <w:t>分析报告</w:t>
      </w:r>
    </w:p>
    <w:p w:rsidR="00942F2C" w:rsidRPr="00733D74" w:rsidRDefault="00733D74" w:rsidP="00453AA2">
      <w:pPr>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9074DA">
        <w:rPr>
          <w:rFonts w:asciiTheme="minorEastAsia" w:eastAsiaTheme="minorEastAsia" w:hAnsiTheme="minorEastAsia" w:hint="eastAsia"/>
          <w:b/>
          <w:sz w:val="24"/>
        </w:rPr>
        <w:t xml:space="preserve">         </w:t>
      </w:r>
      <w:r w:rsidRPr="00733D74">
        <w:rPr>
          <w:rFonts w:asciiTheme="minorEastAsia" w:eastAsiaTheme="minorEastAsia" w:hAnsiTheme="minorEastAsia" w:hint="eastAsia"/>
          <w:b/>
          <w:sz w:val="24"/>
        </w:rPr>
        <w:t>----以中国校友会大学排行榜为</w:t>
      </w:r>
      <w:r w:rsidR="00523F22">
        <w:rPr>
          <w:rFonts w:asciiTheme="minorEastAsia" w:eastAsiaTheme="minorEastAsia" w:hAnsiTheme="minorEastAsia" w:hint="eastAsia"/>
          <w:b/>
          <w:sz w:val="24"/>
        </w:rPr>
        <w:t>依据</w:t>
      </w:r>
    </w:p>
    <w:p w:rsidR="002C7379" w:rsidRPr="00FD26B2" w:rsidRDefault="00FD26B2" w:rsidP="00453AA2">
      <w:pPr>
        <w:jc w:val="center"/>
        <w:rPr>
          <w:rFonts w:ascii="仿宋" w:eastAsia="仿宋" w:hAnsi="仿宋"/>
          <w:b/>
          <w:sz w:val="28"/>
          <w:szCs w:val="28"/>
        </w:rPr>
      </w:pPr>
      <w:r w:rsidRPr="00FD26B2">
        <w:rPr>
          <w:rFonts w:ascii="仿宋" w:eastAsia="仿宋" w:hAnsi="仿宋" w:hint="eastAsia"/>
          <w:b/>
          <w:sz w:val="28"/>
          <w:szCs w:val="28"/>
        </w:rPr>
        <w:t>房保俊</w:t>
      </w:r>
    </w:p>
    <w:p w:rsidR="00942F2C" w:rsidRPr="00244001" w:rsidRDefault="00281FBF" w:rsidP="00942F2C">
      <w:pPr>
        <w:pStyle w:val="a3"/>
        <w:spacing w:line="360" w:lineRule="auto"/>
        <w:ind w:left="720" w:firstLineChars="0" w:firstLine="0"/>
        <w:rPr>
          <w:rFonts w:asciiTheme="minorEastAsia" w:eastAsiaTheme="minorEastAsia" w:hAnsiTheme="minorEastAsia"/>
          <w:b/>
          <w:sz w:val="24"/>
        </w:rPr>
      </w:pPr>
      <w:r>
        <w:rPr>
          <w:rFonts w:asciiTheme="minorEastAsia" w:eastAsiaTheme="minorEastAsia" w:hAnsiTheme="minorEastAsia" w:hint="eastAsia"/>
          <w:b/>
          <w:sz w:val="24"/>
        </w:rPr>
        <w:t>一、</w:t>
      </w:r>
      <w:r w:rsidR="00942F2C" w:rsidRPr="00244001">
        <w:rPr>
          <w:rFonts w:asciiTheme="minorEastAsia" w:eastAsiaTheme="minorEastAsia" w:hAnsiTheme="minorEastAsia" w:hint="eastAsia"/>
          <w:b/>
          <w:sz w:val="24"/>
        </w:rPr>
        <w:t>中国校友会大学排行</w:t>
      </w:r>
      <w:proofErr w:type="gramStart"/>
      <w:r w:rsidR="00942F2C" w:rsidRPr="00244001">
        <w:rPr>
          <w:rFonts w:asciiTheme="minorEastAsia" w:eastAsiaTheme="minorEastAsia" w:hAnsiTheme="minorEastAsia" w:hint="eastAsia"/>
          <w:b/>
          <w:sz w:val="24"/>
        </w:rPr>
        <w:t>榜指标</w:t>
      </w:r>
      <w:proofErr w:type="gramEnd"/>
      <w:r w:rsidR="00942F2C" w:rsidRPr="00244001">
        <w:rPr>
          <w:rFonts w:asciiTheme="minorEastAsia" w:eastAsiaTheme="minorEastAsia" w:hAnsiTheme="minorEastAsia" w:hint="eastAsia"/>
          <w:b/>
          <w:sz w:val="24"/>
        </w:rPr>
        <w:t>体系</w:t>
      </w:r>
    </w:p>
    <w:p w:rsidR="009A4059" w:rsidRDefault="00281FBF" w:rsidP="00F86DEE">
      <w:pPr>
        <w:autoSpaceDE w:val="0"/>
        <w:autoSpaceDN w:val="0"/>
        <w:adjustRightInd w:val="0"/>
        <w:spacing w:line="360" w:lineRule="auto"/>
        <w:ind w:firstLineChars="300" w:firstLine="723"/>
        <w:jc w:val="left"/>
        <w:rPr>
          <w:rFonts w:asciiTheme="minorEastAsia" w:eastAsiaTheme="minorEastAsia" w:hAnsiTheme="minorEastAsia"/>
          <w:b/>
          <w:sz w:val="24"/>
        </w:rPr>
      </w:pPr>
      <w:r>
        <w:rPr>
          <w:rFonts w:asciiTheme="minorEastAsia" w:eastAsiaTheme="minorEastAsia" w:hAnsiTheme="minorEastAsia" w:hint="eastAsia"/>
          <w:b/>
          <w:sz w:val="24"/>
        </w:rPr>
        <w:t>（一）</w:t>
      </w:r>
      <w:r w:rsidR="00942F2C" w:rsidRPr="00942F2C">
        <w:rPr>
          <w:rFonts w:asciiTheme="minorEastAsia" w:eastAsiaTheme="minorEastAsia" w:hAnsiTheme="minorEastAsia" w:hint="eastAsia"/>
          <w:b/>
          <w:sz w:val="24"/>
        </w:rPr>
        <w:t>评价指标体系与权重</w:t>
      </w:r>
    </w:p>
    <w:p w:rsidR="00F86DEE" w:rsidRPr="00F86DEE" w:rsidRDefault="00F86DEE" w:rsidP="00F86DEE">
      <w:pPr>
        <w:autoSpaceDE w:val="0"/>
        <w:autoSpaceDN w:val="0"/>
        <w:adjustRightInd w:val="0"/>
        <w:spacing w:line="360" w:lineRule="auto"/>
        <w:ind w:left="361" w:firstLineChars="250" w:firstLine="600"/>
        <w:jc w:val="left"/>
        <w:rPr>
          <w:rFonts w:asciiTheme="minorEastAsia" w:eastAsiaTheme="minorEastAsia" w:hAnsiTheme="minorEastAsia"/>
          <w:sz w:val="24"/>
        </w:rPr>
      </w:pPr>
      <w:r w:rsidRPr="00F86DEE">
        <w:rPr>
          <w:rFonts w:asciiTheme="minorEastAsia" w:eastAsiaTheme="minorEastAsia" w:hAnsiTheme="minorEastAsia" w:hint="eastAsia"/>
          <w:sz w:val="24"/>
        </w:rPr>
        <w:t>2015</w:t>
      </w:r>
      <w:r>
        <w:rPr>
          <w:rFonts w:asciiTheme="minorEastAsia" w:eastAsiaTheme="minorEastAsia" w:hAnsiTheme="minorEastAsia" w:hint="eastAsia"/>
          <w:sz w:val="24"/>
        </w:rPr>
        <w:t>年校友会排行榜，共有3项一级指标，包含了9项二级指标和12</w:t>
      </w:r>
      <w:r w:rsidR="00E74CA5">
        <w:rPr>
          <w:rFonts w:asciiTheme="minorEastAsia" w:eastAsiaTheme="minorEastAsia" w:hAnsiTheme="minorEastAsia" w:hint="eastAsia"/>
          <w:sz w:val="24"/>
        </w:rPr>
        <w:t>项三级指标，各指标名称及权重详见表1-1。</w:t>
      </w:r>
    </w:p>
    <w:p w:rsidR="00942F2C" w:rsidRPr="00F86DEE" w:rsidRDefault="00942F2C" w:rsidP="00F86DEE">
      <w:pPr>
        <w:autoSpaceDE w:val="0"/>
        <w:autoSpaceDN w:val="0"/>
        <w:adjustRightInd w:val="0"/>
        <w:spacing w:line="360" w:lineRule="auto"/>
        <w:ind w:left="361" w:firstLineChars="600" w:firstLine="1265"/>
        <w:jc w:val="left"/>
        <w:rPr>
          <w:rFonts w:asciiTheme="minorEastAsia" w:eastAsiaTheme="minorEastAsia" w:hAnsiTheme="minorEastAsia"/>
          <w:b/>
          <w:szCs w:val="21"/>
        </w:rPr>
      </w:pPr>
      <w:r w:rsidRPr="00F86DEE">
        <w:rPr>
          <w:rFonts w:asciiTheme="minorEastAsia" w:eastAsiaTheme="minorEastAsia" w:hAnsiTheme="minorEastAsia" w:hint="eastAsia"/>
          <w:b/>
          <w:szCs w:val="21"/>
        </w:rPr>
        <w:t>表1</w:t>
      </w:r>
      <w:r w:rsidR="008F36C8" w:rsidRPr="00F86DEE">
        <w:rPr>
          <w:rFonts w:asciiTheme="minorEastAsia" w:eastAsiaTheme="minorEastAsia" w:hAnsiTheme="minorEastAsia" w:hint="eastAsia"/>
          <w:b/>
          <w:szCs w:val="21"/>
        </w:rPr>
        <w:t>-1</w:t>
      </w:r>
      <w:r w:rsidRPr="00F86DEE">
        <w:rPr>
          <w:rFonts w:asciiTheme="minorEastAsia" w:eastAsiaTheme="minorEastAsia" w:hAnsiTheme="minorEastAsia" w:hint="eastAsia"/>
          <w:b/>
          <w:szCs w:val="21"/>
        </w:rPr>
        <w:t xml:space="preserve">  2015中国</w:t>
      </w:r>
      <w:r w:rsidR="00FE34B0">
        <w:rPr>
          <w:rFonts w:asciiTheme="minorEastAsia" w:eastAsiaTheme="minorEastAsia" w:hAnsiTheme="minorEastAsia" w:hint="eastAsia"/>
          <w:b/>
          <w:szCs w:val="21"/>
        </w:rPr>
        <w:t>校友会</w:t>
      </w:r>
      <w:r w:rsidRPr="00F86DEE">
        <w:rPr>
          <w:rFonts w:asciiTheme="minorEastAsia" w:eastAsiaTheme="minorEastAsia" w:hAnsiTheme="minorEastAsia" w:hint="eastAsia"/>
          <w:b/>
          <w:szCs w:val="21"/>
        </w:rPr>
        <w:t>大学排行榜评价指标及权重</w:t>
      </w:r>
    </w:p>
    <w:tbl>
      <w:tblPr>
        <w:tblStyle w:val="a4"/>
        <w:tblW w:w="6860" w:type="dxa"/>
        <w:jc w:val="center"/>
        <w:tblLook w:val="04A0" w:firstRow="1" w:lastRow="0" w:firstColumn="1" w:lastColumn="0" w:noHBand="0" w:noVBand="1"/>
      </w:tblPr>
      <w:tblGrid>
        <w:gridCol w:w="1715"/>
        <w:gridCol w:w="1715"/>
        <w:gridCol w:w="1715"/>
        <w:gridCol w:w="1715"/>
      </w:tblGrid>
      <w:tr w:rsidR="00942F2C" w:rsidRPr="009F1492" w:rsidTr="00942F2C">
        <w:trPr>
          <w:trHeight w:val="409"/>
          <w:jc w:val="center"/>
        </w:trPr>
        <w:tc>
          <w:tcPr>
            <w:tcW w:w="1715" w:type="dxa"/>
            <w:hideMark/>
          </w:tcPr>
          <w:p w:rsidR="00942F2C" w:rsidRPr="00F86DEE" w:rsidRDefault="00942F2C" w:rsidP="00942F2C">
            <w:pPr>
              <w:widowControl/>
              <w:spacing w:before="100" w:beforeAutospacing="1" w:after="100" w:afterAutospacing="1"/>
              <w:jc w:val="center"/>
              <w:rPr>
                <w:rFonts w:ascii="宋体" w:hAnsi="宋体" w:cs="宋体"/>
                <w:b/>
                <w:kern w:val="0"/>
                <w:szCs w:val="21"/>
              </w:rPr>
            </w:pPr>
            <w:r w:rsidRPr="00F86DEE">
              <w:rPr>
                <w:rFonts w:ascii="宋体" w:hAnsi="宋体" w:cs="宋体"/>
                <w:b/>
                <w:bCs/>
                <w:kern w:val="0"/>
                <w:szCs w:val="21"/>
              </w:rPr>
              <w:t>一级指标</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b/>
                <w:kern w:val="0"/>
                <w:szCs w:val="21"/>
              </w:rPr>
            </w:pPr>
            <w:r w:rsidRPr="00F86DEE">
              <w:rPr>
                <w:rFonts w:ascii="宋体" w:hAnsi="宋体" w:cs="宋体"/>
                <w:b/>
                <w:bCs/>
                <w:kern w:val="0"/>
                <w:szCs w:val="21"/>
              </w:rPr>
              <w:t>二级指标</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b/>
                <w:kern w:val="0"/>
                <w:szCs w:val="21"/>
              </w:rPr>
            </w:pPr>
            <w:r w:rsidRPr="00F86DEE">
              <w:rPr>
                <w:rFonts w:ascii="宋体" w:hAnsi="宋体" w:cs="宋体"/>
                <w:b/>
                <w:bCs/>
                <w:kern w:val="0"/>
                <w:szCs w:val="21"/>
              </w:rPr>
              <w:t>三级指标</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b/>
                <w:kern w:val="0"/>
                <w:szCs w:val="21"/>
              </w:rPr>
            </w:pPr>
            <w:r w:rsidRPr="00F86DEE">
              <w:rPr>
                <w:rFonts w:ascii="宋体" w:hAnsi="宋体" w:cs="宋体"/>
                <w:b/>
                <w:bCs/>
                <w:kern w:val="0"/>
                <w:szCs w:val="21"/>
              </w:rPr>
              <w:t>指标权重</w:t>
            </w:r>
          </w:p>
        </w:tc>
      </w:tr>
      <w:tr w:rsidR="00942F2C" w:rsidRPr="009F1492" w:rsidTr="00F86DEE">
        <w:trPr>
          <w:trHeight w:val="308"/>
          <w:jc w:val="center"/>
        </w:trPr>
        <w:tc>
          <w:tcPr>
            <w:tcW w:w="1715" w:type="dxa"/>
            <w:vMerge w:val="restart"/>
            <w:vAlign w:val="center"/>
            <w:hideMark/>
          </w:tcPr>
          <w:p w:rsidR="00942F2C" w:rsidRPr="00F86DEE" w:rsidRDefault="00942F2C" w:rsidP="00F86DEE">
            <w:pPr>
              <w:widowControl/>
              <w:spacing w:before="100" w:beforeAutospacing="1" w:after="100" w:afterAutospacing="1"/>
              <w:jc w:val="center"/>
              <w:rPr>
                <w:rFonts w:ascii="宋体" w:hAnsi="宋体" w:cs="宋体"/>
                <w:kern w:val="0"/>
                <w:szCs w:val="21"/>
              </w:rPr>
            </w:pPr>
            <w:bookmarkStart w:id="0" w:name="_Hlk282898062"/>
            <w:r w:rsidRPr="00F86DEE">
              <w:rPr>
                <w:rFonts w:ascii="宋体" w:hAnsi="宋体" w:cs="宋体"/>
                <w:color w:val="000000"/>
                <w:kern w:val="0"/>
                <w:szCs w:val="21"/>
              </w:rPr>
              <w:t>人才培养</w:t>
            </w:r>
            <w:bookmarkEnd w:id="0"/>
          </w:p>
        </w:tc>
        <w:tc>
          <w:tcPr>
            <w:tcW w:w="1715" w:type="dxa"/>
            <w:vMerge w:val="restart"/>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教学质量</w:t>
            </w:r>
          </w:p>
        </w:tc>
        <w:tc>
          <w:tcPr>
            <w:tcW w:w="1715" w:type="dxa"/>
            <w:hideMark/>
          </w:tcPr>
          <w:p w:rsidR="00942F2C" w:rsidRPr="00D1482C" w:rsidRDefault="00942F2C" w:rsidP="00942F2C">
            <w:pPr>
              <w:widowControl/>
              <w:spacing w:before="100" w:beforeAutospacing="1" w:after="100" w:afterAutospacing="1"/>
              <w:jc w:val="center"/>
              <w:rPr>
                <w:rFonts w:ascii="宋体" w:hAnsi="宋体" w:cs="宋体"/>
                <w:kern w:val="0"/>
                <w:szCs w:val="21"/>
              </w:rPr>
            </w:pPr>
            <w:r w:rsidRPr="00D1482C">
              <w:rPr>
                <w:rFonts w:ascii="宋体" w:hAnsi="宋体" w:cs="宋体"/>
                <w:kern w:val="0"/>
                <w:szCs w:val="21"/>
              </w:rPr>
              <w:t>教学水平</w:t>
            </w:r>
          </w:p>
        </w:tc>
        <w:tc>
          <w:tcPr>
            <w:tcW w:w="1715" w:type="dxa"/>
            <w:hideMark/>
          </w:tcPr>
          <w:p w:rsidR="00942F2C" w:rsidRPr="00D1482C" w:rsidRDefault="00942F2C" w:rsidP="00942F2C">
            <w:pPr>
              <w:widowControl/>
              <w:spacing w:before="100" w:beforeAutospacing="1" w:after="100" w:afterAutospacing="1"/>
              <w:jc w:val="center"/>
              <w:rPr>
                <w:rFonts w:ascii="宋体" w:hAnsi="宋体" w:cs="宋体"/>
                <w:kern w:val="0"/>
                <w:szCs w:val="21"/>
              </w:rPr>
            </w:pPr>
            <w:r w:rsidRPr="00D1482C">
              <w:rPr>
                <w:rFonts w:ascii="宋体" w:hAnsi="宋体" w:cs="宋体"/>
                <w:kern w:val="0"/>
                <w:szCs w:val="21"/>
              </w:rPr>
              <w:t>10.40%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Merge/>
            <w:vAlign w:val="center"/>
            <w:hideMark/>
          </w:tcPr>
          <w:p w:rsidR="00942F2C" w:rsidRPr="00F86DEE" w:rsidRDefault="00942F2C" w:rsidP="00942F2C">
            <w:pPr>
              <w:widowControl/>
              <w:jc w:val="center"/>
              <w:rPr>
                <w:rFonts w:ascii="宋体" w:hAnsi="宋体" w:cs="宋体"/>
                <w:kern w:val="0"/>
                <w:szCs w:val="21"/>
              </w:rPr>
            </w:pP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杰出校友</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16.00%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师资队伍</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杰出师资</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12.00%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培养基地</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学科建设</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9.60%</w:t>
            </w:r>
          </w:p>
        </w:tc>
      </w:tr>
      <w:tr w:rsidR="00942F2C" w:rsidRPr="009F1492" w:rsidTr="00F86DEE">
        <w:trPr>
          <w:trHeight w:val="349"/>
          <w:jc w:val="center"/>
        </w:trPr>
        <w:tc>
          <w:tcPr>
            <w:tcW w:w="1715" w:type="dxa"/>
            <w:vMerge w:val="restart"/>
            <w:vAlign w:val="center"/>
            <w:hideMark/>
          </w:tcPr>
          <w:p w:rsidR="00942F2C" w:rsidRPr="00F86DEE" w:rsidRDefault="00942F2C" w:rsidP="00F86DEE">
            <w:pPr>
              <w:widowControl/>
              <w:spacing w:before="100" w:beforeAutospacing="1" w:after="100" w:afterAutospacing="1"/>
              <w:ind w:right="315"/>
              <w:jc w:val="right"/>
              <w:rPr>
                <w:rFonts w:ascii="宋体" w:hAnsi="宋体" w:cs="宋体"/>
                <w:kern w:val="0"/>
                <w:szCs w:val="21"/>
              </w:rPr>
            </w:pPr>
            <w:r w:rsidRPr="00F86DEE">
              <w:rPr>
                <w:rFonts w:ascii="宋体" w:hAnsi="宋体" w:cs="宋体"/>
                <w:kern w:val="0"/>
                <w:szCs w:val="21"/>
              </w:rPr>
              <w:t>科学研究</w:t>
            </w: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科研成果</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高端科研成果</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16.00%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科研基地</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创新基地</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9.60%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科研项目</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基础科研项目</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9.60%</w:t>
            </w:r>
          </w:p>
        </w:tc>
      </w:tr>
      <w:tr w:rsidR="00942F2C" w:rsidRPr="009F1492" w:rsidTr="00F86DEE">
        <w:trPr>
          <w:trHeight w:val="142"/>
          <w:jc w:val="center"/>
        </w:trPr>
        <w:tc>
          <w:tcPr>
            <w:tcW w:w="1715" w:type="dxa"/>
            <w:vMerge w:val="restart"/>
            <w:vAlign w:val="center"/>
            <w:hideMark/>
          </w:tcPr>
          <w:p w:rsidR="00942F2C" w:rsidRPr="00F86DEE" w:rsidRDefault="00942F2C" w:rsidP="00F86DEE">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社会影响</w:t>
            </w: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办学定位</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办学层次</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2.00%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Merge w:val="restart"/>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社会声誉</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校友捐赠</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5.00%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Merge/>
            <w:vAlign w:val="center"/>
            <w:hideMark/>
          </w:tcPr>
          <w:p w:rsidR="00942F2C" w:rsidRPr="00F86DEE" w:rsidRDefault="00942F2C" w:rsidP="00942F2C">
            <w:pPr>
              <w:widowControl/>
              <w:jc w:val="center"/>
              <w:rPr>
                <w:rFonts w:ascii="宋体" w:hAnsi="宋体" w:cs="宋体"/>
                <w:kern w:val="0"/>
                <w:szCs w:val="21"/>
              </w:rPr>
            </w:pP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生源竞争力</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2.20%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Merge/>
            <w:vAlign w:val="center"/>
            <w:hideMark/>
          </w:tcPr>
          <w:p w:rsidR="00942F2C" w:rsidRPr="00F86DEE" w:rsidRDefault="00942F2C" w:rsidP="00942F2C">
            <w:pPr>
              <w:widowControl/>
              <w:jc w:val="center"/>
              <w:rPr>
                <w:rFonts w:ascii="宋体" w:hAnsi="宋体" w:cs="宋体"/>
                <w:kern w:val="0"/>
                <w:szCs w:val="21"/>
              </w:rPr>
            </w:pP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媒体影响力</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3.20%</w:t>
            </w:r>
          </w:p>
        </w:tc>
      </w:tr>
      <w:tr w:rsidR="00942F2C" w:rsidRPr="009F1492" w:rsidTr="00942F2C">
        <w:trPr>
          <w:trHeight w:val="142"/>
          <w:jc w:val="center"/>
        </w:trPr>
        <w:tc>
          <w:tcPr>
            <w:tcW w:w="1715" w:type="dxa"/>
            <w:vMerge/>
            <w:hideMark/>
          </w:tcPr>
          <w:p w:rsidR="00942F2C" w:rsidRPr="00F86DEE" w:rsidRDefault="00942F2C" w:rsidP="00942F2C">
            <w:pPr>
              <w:widowControl/>
              <w:jc w:val="left"/>
              <w:rPr>
                <w:rFonts w:ascii="宋体" w:hAnsi="宋体" w:cs="宋体"/>
                <w:kern w:val="0"/>
                <w:szCs w:val="21"/>
              </w:rPr>
            </w:pPr>
          </w:p>
        </w:tc>
        <w:tc>
          <w:tcPr>
            <w:tcW w:w="1715" w:type="dxa"/>
            <w:vAlign w:val="center"/>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国际影响</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国际影响力</w:t>
            </w:r>
          </w:p>
        </w:tc>
        <w:tc>
          <w:tcPr>
            <w:tcW w:w="1715" w:type="dxa"/>
            <w:hideMark/>
          </w:tcPr>
          <w:p w:rsidR="00942F2C" w:rsidRPr="00F86DEE" w:rsidRDefault="00942F2C" w:rsidP="00942F2C">
            <w:pPr>
              <w:widowControl/>
              <w:spacing w:before="100" w:beforeAutospacing="1" w:after="100" w:afterAutospacing="1"/>
              <w:jc w:val="center"/>
              <w:rPr>
                <w:rFonts w:ascii="宋体" w:hAnsi="宋体" w:cs="宋体"/>
                <w:kern w:val="0"/>
                <w:szCs w:val="21"/>
              </w:rPr>
            </w:pPr>
            <w:r w:rsidRPr="00F86DEE">
              <w:rPr>
                <w:rFonts w:ascii="宋体" w:hAnsi="宋体" w:cs="宋体"/>
                <w:kern w:val="0"/>
                <w:szCs w:val="21"/>
              </w:rPr>
              <w:t>4.40%</w:t>
            </w:r>
          </w:p>
        </w:tc>
      </w:tr>
    </w:tbl>
    <w:p w:rsidR="00F86DEE" w:rsidRDefault="00A056FA" w:rsidP="00942F2C">
      <w:pPr>
        <w:autoSpaceDE w:val="0"/>
        <w:autoSpaceDN w:val="0"/>
        <w:adjustRightInd w:val="0"/>
        <w:spacing w:line="360" w:lineRule="auto"/>
        <w:jc w:val="left"/>
        <w:rPr>
          <w:rFonts w:asciiTheme="minorEastAsia" w:eastAsiaTheme="minorEastAsia" w:hAnsiTheme="minorEastAsia"/>
          <w:sz w:val="24"/>
        </w:rPr>
      </w:pPr>
      <w:r>
        <w:rPr>
          <w:rFonts w:asciiTheme="minorEastAsia" w:eastAsiaTheme="minorEastAsia" w:hAnsiTheme="minorEastAsia" w:hint="eastAsia"/>
          <w:b/>
          <w:sz w:val="24"/>
        </w:rPr>
        <w:t xml:space="preserve"> </w:t>
      </w:r>
      <w:r w:rsidRPr="00E74CA5">
        <w:rPr>
          <w:rFonts w:asciiTheme="minorEastAsia" w:eastAsiaTheme="minorEastAsia" w:hAnsiTheme="minorEastAsia" w:hint="eastAsia"/>
          <w:sz w:val="24"/>
        </w:rPr>
        <w:t xml:space="preserve">  </w:t>
      </w:r>
      <w:r w:rsidR="00E74CA5">
        <w:rPr>
          <w:rFonts w:asciiTheme="minorEastAsia" w:eastAsiaTheme="minorEastAsia" w:hAnsiTheme="minorEastAsia" w:hint="eastAsia"/>
          <w:sz w:val="24"/>
        </w:rPr>
        <w:t xml:space="preserve">  从3项一级指标所占权重看，</w:t>
      </w:r>
      <w:r w:rsidR="00E74CA5" w:rsidRPr="00E74CA5">
        <w:rPr>
          <w:rFonts w:asciiTheme="minorEastAsia" w:eastAsiaTheme="minorEastAsia" w:hAnsiTheme="minorEastAsia" w:hint="eastAsia"/>
          <w:sz w:val="24"/>
        </w:rPr>
        <w:t>人才</w:t>
      </w:r>
      <w:proofErr w:type="gramStart"/>
      <w:r w:rsidR="00E74CA5" w:rsidRPr="00E74CA5">
        <w:rPr>
          <w:rFonts w:asciiTheme="minorEastAsia" w:eastAsiaTheme="minorEastAsia" w:hAnsiTheme="minorEastAsia" w:hint="eastAsia"/>
          <w:sz w:val="24"/>
        </w:rPr>
        <w:t>培养占</w:t>
      </w:r>
      <w:proofErr w:type="gramEnd"/>
      <w:r w:rsidR="00E74CA5" w:rsidRPr="00E74CA5">
        <w:rPr>
          <w:rFonts w:asciiTheme="minorEastAsia" w:eastAsiaTheme="minorEastAsia" w:hAnsiTheme="minorEastAsia" w:hint="eastAsia"/>
          <w:sz w:val="24"/>
        </w:rPr>
        <w:t>48%，科学研究占35.2%，社会影响占16.8%。</w:t>
      </w:r>
      <w:r w:rsidR="00E74CA5">
        <w:rPr>
          <w:rFonts w:asciiTheme="minorEastAsia" w:eastAsiaTheme="minorEastAsia" w:hAnsiTheme="minorEastAsia" w:hint="eastAsia"/>
          <w:sz w:val="24"/>
        </w:rPr>
        <w:t>（见图1-1）</w:t>
      </w:r>
    </w:p>
    <w:p w:rsidR="00E74CA5" w:rsidRDefault="00E84B64" w:rsidP="00E74CA5">
      <w:pPr>
        <w:autoSpaceDE w:val="0"/>
        <w:autoSpaceDN w:val="0"/>
        <w:adjustRightInd w:val="0"/>
        <w:spacing w:line="360" w:lineRule="auto"/>
        <w:jc w:val="center"/>
        <w:rPr>
          <w:rFonts w:asciiTheme="minorEastAsia" w:eastAsiaTheme="minorEastAsia" w:hAnsiTheme="minorEastAsia"/>
          <w:sz w:val="24"/>
        </w:rPr>
      </w:pPr>
      <w:r>
        <w:rPr>
          <w:noProof/>
        </w:rPr>
        <w:drawing>
          <wp:inline distT="0" distB="0" distL="0" distR="0" wp14:anchorId="5838E602" wp14:editId="4221FAB2">
            <wp:extent cx="4572000" cy="27432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4CA5" w:rsidRDefault="00E74CA5" w:rsidP="00E74CA5">
      <w:pPr>
        <w:jc w:val="center"/>
        <w:rPr>
          <w:rFonts w:asciiTheme="minorEastAsia" w:eastAsiaTheme="minorEastAsia" w:hAnsiTheme="minorEastAsia"/>
          <w:b/>
          <w:szCs w:val="21"/>
        </w:rPr>
      </w:pPr>
      <w:r w:rsidRPr="00E74CA5">
        <w:rPr>
          <w:rFonts w:asciiTheme="minorEastAsia" w:eastAsiaTheme="minorEastAsia" w:hAnsiTheme="minorEastAsia" w:hint="eastAsia"/>
          <w:b/>
          <w:szCs w:val="21"/>
        </w:rPr>
        <w:t>图1-1 各一级指标权重图</w:t>
      </w:r>
    </w:p>
    <w:p w:rsidR="00E74CA5" w:rsidRPr="00493846" w:rsidRDefault="00E84B64" w:rsidP="00493846">
      <w:pPr>
        <w:spacing w:line="360" w:lineRule="auto"/>
        <w:ind w:firstLineChars="200" w:firstLine="480"/>
        <w:rPr>
          <w:rFonts w:asciiTheme="minorEastAsia" w:eastAsiaTheme="minorEastAsia" w:hAnsiTheme="minorEastAsia"/>
          <w:sz w:val="24"/>
        </w:rPr>
      </w:pPr>
      <w:r w:rsidRPr="00493846">
        <w:rPr>
          <w:rFonts w:asciiTheme="minorEastAsia" w:eastAsiaTheme="minorEastAsia" w:hAnsiTheme="minorEastAsia" w:hint="eastAsia"/>
          <w:sz w:val="24"/>
        </w:rPr>
        <w:lastRenderedPageBreak/>
        <w:t>9项二级指标</w:t>
      </w:r>
      <w:r w:rsidR="00493846" w:rsidRPr="00493846">
        <w:rPr>
          <w:rFonts w:asciiTheme="minorEastAsia" w:eastAsiaTheme="minorEastAsia" w:hAnsiTheme="minorEastAsia" w:hint="eastAsia"/>
          <w:sz w:val="24"/>
        </w:rPr>
        <w:t>中</w:t>
      </w:r>
      <w:r w:rsidR="005A4F5D" w:rsidRPr="00493846">
        <w:rPr>
          <w:rFonts w:asciiTheme="minorEastAsia" w:eastAsiaTheme="minorEastAsia" w:hAnsiTheme="minorEastAsia" w:hint="eastAsia"/>
          <w:sz w:val="24"/>
        </w:rPr>
        <w:t>，</w:t>
      </w:r>
      <w:r w:rsidR="00493846" w:rsidRPr="00493846">
        <w:rPr>
          <w:rFonts w:asciiTheme="minorEastAsia" w:eastAsiaTheme="minorEastAsia" w:hAnsiTheme="minorEastAsia" w:hint="eastAsia"/>
          <w:sz w:val="24"/>
        </w:rPr>
        <w:t>1项</w:t>
      </w:r>
      <w:r w:rsidR="005A4F5D" w:rsidRPr="00493846">
        <w:rPr>
          <w:rFonts w:asciiTheme="minorEastAsia" w:eastAsiaTheme="minorEastAsia" w:hAnsiTheme="minorEastAsia" w:hint="eastAsia"/>
          <w:sz w:val="24"/>
        </w:rPr>
        <w:t>权重占26.40%，</w:t>
      </w:r>
      <w:r w:rsidR="00493846" w:rsidRPr="00493846">
        <w:rPr>
          <w:rFonts w:asciiTheme="minorEastAsia" w:eastAsiaTheme="minorEastAsia" w:hAnsiTheme="minorEastAsia" w:hint="eastAsia"/>
          <w:sz w:val="24"/>
        </w:rPr>
        <w:t>3项指标权重超10%，3项指标权重为9.60%，2项指标权重低于5%，详见图1-2。</w:t>
      </w:r>
    </w:p>
    <w:p w:rsidR="00E84B64" w:rsidRDefault="00493846" w:rsidP="00E74CA5">
      <w:pPr>
        <w:ind w:firstLineChars="200" w:firstLine="420"/>
        <w:rPr>
          <w:rFonts w:asciiTheme="minorEastAsia" w:eastAsiaTheme="minorEastAsia" w:hAnsiTheme="minorEastAsia"/>
          <w:szCs w:val="21"/>
        </w:rPr>
      </w:pPr>
      <w:r>
        <w:rPr>
          <w:noProof/>
        </w:rPr>
        <w:drawing>
          <wp:inline distT="0" distB="0" distL="0" distR="0" wp14:anchorId="752872B0" wp14:editId="38B3AB6E">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B64" w:rsidRPr="00493846" w:rsidRDefault="00493846" w:rsidP="00493846">
      <w:pPr>
        <w:ind w:firstLineChars="200" w:firstLine="422"/>
        <w:jc w:val="center"/>
        <w:rPr>
          <w:rFonts w:asciiTheme="minorEastAsia" w:eastAsiaTheme="minorEastAsia" w:hAnsiTheme="minorEastAsia"/>
          <w:b/>
          <w:szCs w:val="21"/>
        </w:rPr>
      </w:pPr>
      <w:r w:rsidRPr="00493846">
        <w:rPr>
          <w:rFonts w:asciiTheme="minorEastAsia" w:eastAsiaTheme="minorEastAsia" w:hAnsiTheme="minorEastAsia" w:hint="eastAsia"/>
          <w:b/>
          <w:szCs w:val="21"/>
        </w:rPr>
        <w:t>图1-2  各二级指标权重图</w:t>
      </w:r>
    </w:p>
    <w:p w:rsidR="00493846" w:rsidRPr="00493846" w:rsidRDefault="00493846" w:rsidP="00493846">
      <w:pPr>
        <w:spacing w:line="360" w:lineRule="auto"/>
        <w:ind w:firstLineChars="200" w:firstLine="480"/>
        <w:rPr>
          <w:rFonts w:asciiTheme="minorEastAsia" w:eastAsiaTheme="minorEastAsia" w:hAnsiTheme="minorEastAsia"/>
          <w:sz w:val="24"/>
        </w:rPr>
      </w:pPr>
      <w:r w:rsidRPr="00493846">
        <w:rPr>
          <w:rFonts w:asciiTheme="minorEastAsia" w:eastAsiaTheme="minorEastAsia" w:hAnsiTheme="minorEastAsia" w:hint="eastAsia"/>
          <w:sz w:val="24"/>
        </w:rPr>
        <w:t>12项三级指标中，4项指标权重超10%，4项指标权重超5%，4项指标权重低于5%。详见图1-3。</w:t>
      </w:r>
    </w:p>
    <w:p w:rsidR="00F86DEE" w:rsidRDefault="00F86DEE" w:rsidP="00E74CA5">
      <w:pPr>
        <w:autoSpaceDE w:val="0"/>
        <w:autoSpaceDN w:val="0"/>
        <w:adjustRightInd w:val="0"/>
        <w:spacing w:line="360" w:lineRule="auto"/>
        <w:jc w:val="center"/>
        <w:rPr>
          <w:rFonts w:asciiTheme="minorEastAsia" w:eastAsiaTheme="minorEastAsia" w:hAnsiTheme="minorEastAsia"/>
          <w:b/>
          <w:sz w:val="24"/>
        </w:rPr>
      </w:pPr>
      <w:r>
        <w:rPr>
          <w:noProof/>
        </w:rPr>
        <w:drawing>
          <wp:inline distT="0" distB="0" distL="0" distR="0" wp14:anchorId="2D23930D" wp14:editId="7FED1343">
            <wp:extent cx="4960620" cy="2743200"/>
            <wp:effectExtent l="0" t="0" r="1143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DEE" w:rsidRPr="00493846" w:rsidRDefault="00493846" w:rsidP="00493846">
      <w:pPr>
        <w:autoSpaceDE w:val="0"/>
        <w:autoSpaceDN w:val="0"/>
        <w:adjustRightInd w:val="0"/>
        <w:spacing w:line="360" w:lineRule="auto"/>
        <w:jc w:val="center"/>
        <w:rPr>
          <w:rFonts w:asciiTheme="minorEastAsia" w:eastAsiaTheme="minorEastAsia" w:hAnsiTheme="minorEastAsia"/>
          <w:b/>
          <w:szCs w:val="21"/>
        </w:rPr>
      </w:pPr>
      <w:r w:rsidRPr="00493846">
        <w:rPr>
          <w:rFonts w:asciiTheme="minorEastAsia" w:eastAsiaTheme="minorEastAsia" w:hAnsiTheme="minorEastAsia" w:hint="eastAsia"/>
          <w:b/>
          <w:szCs w:val="21"/>
        </w:rPr>
        <w:t>图1-3  各三级指标权重图</w:t>
      </w:r>
    </w:p>
    <w:p w:rsidR="00942F2C" w:rsidRPr="00942F2C" w:rsidRDefault="00A056FA" w:rsidP="00942F2C">
      <w:pPr>
        <w:autoSpaceDE w:val="0"/>
        <w:autoSpaceDN w:val="0"/>
        <w:adjustRightInd w:val="0"/>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（二）</w:t>
      </w:r>
      <w:r w:rsidR="00BD17C9">
        <w:rPr>
          <w:rFonts w:asciiTheme="minorEastAsia" w:eastAsiaTheme="minorEastAsia" w:hAnsiTheme="minorEastAsia" w:hint="eastAsia"/>
          <w:b/>
          <w:sz w:val="24"/>
        </w:rPr>
        <w:t>各级评价指标</w:t>
      </w:r>
      <w:r w:rsidR="00942F2C">
        <w:rPr>
          <w:rFonts w:asciiTheme="minorEastAsia" w:eastAsiaTheme="minorEastAsia" w:hAnsiTheme="minorEastAsia" w:hint="eastAsia"/>
          <w:b/>
          <w:sz w:val="24"/>
        </w:rPr>
        <w:t>内涵</w:t>
      </w:r>
      <w:r w:rsidR="00BD17C9">
        <w:rPr>
          <w:rFonts w:asciiTheme="minorEastAsia" w:eastAsiaTheme="minorEastAsia" w:hAnsiTheme="minorEastAsia" w:hint="eastAsia"/>
          <w:b/>
          <w:sz w:val="24"/>
        </w:rPr>
        <w:t>解读</w:t>
      </w:r>
    </w:p>
    <w:p w:rsidR="009A4059" w:rsidRDefault="00A7746A" w:rsidP="00A7746A">
      <w:pPr>
        <w:autoSpaceDE w:val="0"/>
        <w:autoSpaceDN w:val="0"/>
        <w:adjustRightInd w:val="0"/>
        <w:spacing w:line="360" w:lineRule="auto"/>
        <w:ind w:firstLineChars="200" w:firstLine="480"/>
        <w:jc w:val="left"/>
        <w:rPr>
          <w:rFonts w:asciiTheme="minorEastAsia" w:eastAsiaTheme="minorEastAsia" w:hAnsiTheme="minorEastAsia"/>
          <w:sz w:val="24"/>
        </w:rPr>
      </w:pPr>
      <w:r w:rsidRPr="00A7746A">
        <w:rPr>
          <w:rFonts w:asciiTheme="minorEastAsia" w:eastAsiaTheme="minorEastAsia" w:hAnsiTheme="minorEastAsia" w:hint="eastAsia"/>
          <w:sz w:val="24"/>
        </w:rPr>
        <w:t>2015中国大学排行</w:t>
      </w:r>
      <w:proofErr w:type="gramStart"/>
      <w:r w:rsidRPr="00A7746A">
        <w:rPr>
          <w:rFonts w:asciiTheme="minorEastAsia" w:eastAsiaTheme="minorEastAsia" w:hAnsiTheme="minorEastAsia" w:hint="eastAsia"/>
          <w:sz w:val="24"/>
        </w:rPr>
        <w:t>榜评价</w:t>
      </w:r>
      <w:proofErr w:type="gramEnd"/>
      <w:r w:rsidRPr="00A7746A">
        <w:rPr>
          <w:rFonts w:asciiTheme="minorEastAsia" w:eastAsiaTheme="minorEastAsia" w:hAnsiTheme="minorEastAsia" w:hint="eastAsia"/>
          <w:sz w:val="24"/>
        </w:rPr>
        <w:t>指标体系采用三级评价指标体系，一级指标由人才培养、科学研究和社会影响三大指标构成，二级指标由教学质量、师资队伍、培养基地、科研成果、科研基地、科研项目、办学定位、社会声誉和国际影响构成。三级指标由教学水平、杰出校友、杰出师资、学科建设、高端科研成果、创新基</w:t>
      </w:r>
      <w:r w:rsidRPr="00A7746A">
        <w:rPr>
          <w:rFonts w:asciiTheme="minorEastAsia" w:eastAsiaTheme="minorEastAsia" w:hAnsiTheme="minorEastAsia" w:hint="eastAsia"/>
          <w:sz w:val="24"/>
        </w:rPr>
        <w:lastRenderedPageBreak/>
        <w:t>地、基础科研项目、办学层次、校友捐赠、生源竞争力、媒体影响力和国际影响力等12大核心质量指标组成。三级指标涵盖的评价指标有200多项，确保评价结果体现的是中国大学的教学质量、学术水平、办学特色、社会影响和国际化水平。</w:t>
      </w:r>
    </w:p>
    <w:p w:rsidR="009F1492" w:rsidRPr="009F1492" w:rsidRDefault="00B36E78" w:rsidP="008C102E">
      <w:pPr>
        <w:autoSpaceDE w:val="0"/>
        <w:autoSpaceDN w:val="0"/>
        <w:adjustRightInd w:val="0"/>
        <w:spacing w:line="360" w:lineRule="auto"/>
        <w:ind w:firstLineChars="150" w:firstLine="361"/>
        <w:jc w:val="left"/>
        <w:rPr>
          <w:rFonts w:asciiTheme="minorEastAsia" w:eastAsiaTheme="minorEastAsia" w:hAnsiTheme="minorEastAsia"/>
          <w:b/>
          <w:sz w:val="24"/>
        </w:rPr>
      </w:pPr>
      <w:r>
        <w:rPr>
          <w:rFonts w:asciiTheme="minorEastAsia" w:eastAsiaTheme="minorEastAsia" w:hAnsiTheme="minorEastAsia" w:hint="eastAsia"/>
          <w:b/>
          <w:sz w:val="24"/>
        </w:rPr>
        <w:t>1.</w:t>
      </w:r>
      <w:r w:rsidR="009F1492">
        <w:rPr>
          <w:rFonts w:asciiTheme="minorEastAsia" w:eastAsiaTheme="minorEastAsia" w:hAnsiTheme="minorEastAsia" w:hint="eastAsia"/>
          <w:b/>
          <w:sz w:val="24"/>
        </w:rPr>
        <w:t>教学水平</w:t>
      </w:r>
    </w:p>
    <w:p w:rsidR="00A7746A" w:rsidRDefault="009F1492"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sidRPr="009F1492">
        <w:rPr>
          <w:rFonts w:asciiTheme="minorEastAsia" w:eastAsiaTheme="minorEastAsia" w:hAnsiTheme="minorEastAsia" w:hint="eastAsia"/>
          <w:sz w:val="24"/>
        </w:rPr>
        <w:t>包括教学工程、教学奖励、教学基地中心、教材及课程、创新创业教育成果、国际化办学和德育教育成果等。</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9F1492" w:rsidRPr="009F1492">
        <w:rPr>
          <w:rFonts w:asciiTheme="minorEastAsia" w:eastAsiaTheme="minorEastAsia" w:hAnsiTheme="minorEastAsia" w:hint="eastAsia"/>
          <w:sz w:val="24"/>
        </w:rPr>
        <w:t>教学工程：教育部本科教学工程项目（高等学校本科教学质量与教学改革工程）、卓越教育培养计划项目等。</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9F1492" w:rsidRPr="009F1492">
        <w:rPr>
          <w:rFonts w:asciiTheme="minorEastAsia" w:eastAsiaTheme="minorEastAsia" w:hAnsiTheme="minorEastAsia" w:hint="eastAsia"/>
          <w:sz w:val="24"/>
        </w:rPr>
        <w:t>教学奖励：国家级教学成果奖。</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9F1492" w:rsidRPr="009F1492">
        <w:rPr>
          <w:rFonts w:asciiTheme="minorEastAsia" w:eastAsiaTheme="minorEastAsia" w:hAnsiTheme="minorEastAsia" w:hint="eastAsia"/>
          <w:sz w:val="24"/>
        </w:rPr>
        <w:t>教学基地中心：全国大学生素质教育基地、国家级人才培养基地、国家级教学示范中心、工程实践教育中心、人才培养模式创新实验区、全国创业孵化示范基地、大学生校外实践教育基地等。</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（4）</w:t>
      </w:r>
      <w:r w:rsidR="009F1492" w:rsidRPr="009F1492">
        <w:rPr>
          <w:rFonts w:asciiTheme="minorEastAsia" w:eastAsiaTheme="minorEastAsia" w:hAnsiTheme="minorEastAsia" w:hint="eastAsia"/>
          <w:sz w:val="24"/>
        </w:rPr>
        <w:t>教材及课程：教育部推荐研究生教学用书、精品课程教材、规划教材、优秀教材等；国家精品课程、精品视频公开课、精品资源共享课、双语教学示范课程等。</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（5）</w:t>
      </w:r>
      <w:r w:rsidR="009F1492" w:rsidRPr="009F1492">
        <w:rPr>
          <w:rFonts w:asciiTheme="minorEastAsia" w:eastAsiaTheme="minorEastAsia" w:hAnsiTheme="minorEastAsia" w:hint="eastAsia"/>
          <w:sz w:val="24"/>
        </w:rPr>
        <w:t>创新创业教育成果：全国“挑战杯”创业计划大赛和课外学术科技作品大赛、全国大学生数学建模竞赛、中国青少年科技创新奖、全国英语演讲大赛获奖、创青春全国大学生创业大赛获奖、全国研究生数学建模竞赛获奖、国家级大学生创新创业训练计划项目、教育部研究生教育创新计划项目和国家建设高水平大学公派研究生项目等。</w:t>
      </w:r>
    </w:p>
    <w:p w:rsidR="009F1492" w:rsidRPr="009F1492" w:rsidRDefault="00B36E78"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（6）</w:t>
      </w:r>
      <w:r w:rsidR="009F1492" w:rsidRPr="009F1492">
        <w:rPr>
          <w:rFonts w:asciiTheme="minorEastAsia" w:eastAsiaTheme="minorEastAsia" w:hAnsiTheme="minorEastAsia" w:hint="eastAsia"/>
          <w:sz w:val="24"/>
        </w:rPr>
        <w:t>国际化办学：留学生人数、来华留学示范基地、中国政府奖学金和教育部中外合作办学项目和主办的孔子学院等。</w:t>
      </w:r>
    </w:p>
    <w:p w:rsidR="009F1492" w:rsidRPr="009F1492" w:rsidRDefault="00964ABB"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（7）</w:t>
      </w:r>
      <w:r w:rsidR="009F1492" w:rsidRPr="009F1492">
        <w:rPr>
          <w:rFonts w:asciiTheme="minorEastAsia" w:eastAsiaTheme="minorEastAsia" w:hAnsiTheme="minorEastAsia" w:hint="eastAsia"/>
          <w:sz w:val="24"/>
        </w:rPr>
        <w:t>德育教育：团中央和全国学联主办的中国大学生自强之星称号获得者。</w:t>
      </w:r>
    </w:p>
    <w:p w:rsidR="009F1492" w:rsidRDefault="00B36E78" w:rsidP="009F1492">
      <w:pPr>
        <w:autoSpaceDE w:val="0"/>
        <w:autoSpaceDN w:val="0"/>
        <w:adjustRightInd w:val="0"/>
        <w:spacing w:line="360" w:lineRule="auto"/>
        <w:ind w:firstLineChars="150" w:firstLine="361"/>
        <w:jc w:val="left"/>
        <w:rPr>
          <w:rFonts w:asciiTheme="minorEastAsia" w:eastAsiaTheme="minorEastAsia" w:hAnsiTheme="minorEastAsia"/>
          <w:b/>
          <w:sz w:val="24"/>
        </w:rPr>
      </w:pPr>
      <w:r>
        <w:rPr>
          <w:rFonts w:asciiTheme="minorEastAsia" w:eastAsiaTheme="minorEastAsia" w:hAnsiTheme="minorEastAsia" w:hint="eastAsia"/>
          <w:b/>
          <w:sz w:val="24"/>
        </w:rPr>
        <w:t>2.</w:t>
      </w:r>
      <w:r w:rsidR="009F1492" w:rsidRPr="009F1492">
        <w:rPr>
          <w:rFonts w:asciiTheme="minorEastAsia" w:eastAsiaTheme="minorEastAsia" w:hAnsiTheme="minorEastAsia" w:hint="eastAsia"/>
          <w:b/>
          <w:sz w:val="24"/>
        </w:rPr>
        <w:t>杰出校友</w:t>
      </w:r>
    </w:p>
    <w:p w:rsidR="009F1492" w:rsidRDefault="009F1492"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sidRPr="009F1492">
        <w:rPr>
          <w:rFonts w:asciiTheme="minorEastAsia" w:eastAsiaTheme="minorEastAsia" w:hAnsiTheme="minorEastAsia" w:hint="eastAsia"/>
          <w:sz w:val="24"/>
        </w:rPr>
        <w:t>包括世界级杰出校友、国家级杰出校友和部省级、地市级杰出校友等，校友指高校毕业生中杰出和优秀的政界、学界、商界、公益慈善和文化艺术体育等领域人才，增设国防院校特别人才贡献指标。</w:t>
      </w:r>
    </w:p>
    <w:p w:rsidR="009F1492" w:rsidRPr="009F1492" w:rsidRDefault="00964ABB"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9F1492" w:rsidRPr="009F1492">
        <w:rPr>
          <w:rFonts w:asciiTheme="minorEastAsia" w:eastAsiaTheme="minorEastAsia" w:hAnsiTheme="minorEastAsia" w:hint="eastAsia"/>
          <w:sz w:val="24"/>
        </w:rPr>
        <w:t>杰出政要：中国共产党中央委员、中央候补委员和中央纪律检查委员会委员；国家级</w:t>
      </w:r>
      <w:bookmarkStart w:id="1" w:name="OLE_LINK5"/>
      <w:bookmarkStart w:id="2" w:name="OLE_LINK4"/>
      <w:bookmarkEnd w:id="1"/>
      <w:r w:rsidR="009F1492" w:rsidRPr="009F1492">
        <w:rPr>
          <w:rFonts w:asciiTheme="minorEastAsia" w:eastAsiaTheme="minorEastAsia" w:hAnsiTheme="minorEastAsia" w:hint="eastAsia"/>
          <w:sz w:val="24"/>
        </w:rPr>
        <w:t>正副职领导</w:t>
      </w:r>
      <w:bookmarkEnd w:id="2"/>
      <w:r w:rsidR="009F1492" w:rsidRPr="009F1492">
        <w:rPr>
          <w:rFonts w:asciiTheme="minorEastAsia" w:eastAsiaTheme="minorEastAsia" w:hAnsiTheme="minorEastAsia" w:hint="eastAsia"/>
          <w:sz w:val="24"/>
        </w:rPr>
        <w:t>、国务院各部委正副部长、各省市自治区正副书记省长、</w:t>
      </w:r>
      <w:r w:rsidR="009F1492" w:rsidRPr="009F1492">
        <w:rPr>
          <w:rFonts w:asciiTheme="minorEastAsia" w:eastAsiaTheme="minorEastAsia" w:hAnsiTheme="minorEastAsia" w:hint="eastAsia"/>
          <w:sz w:val="24"/>
        </w:rPr>
        <w:lastRenderedPageBreak/>
        <w:t>新疆建设兵团书记司令政委等；中国八大民主党派（中国国民党革命委员会、中国民主同盟、中国民主建国会、中国民主促进会、中国农工民主党、中国致公党、九三学社、台湾民主自治同盟）国家级正副职领导，全国各省自治区地级市书记市长、各直辖市地级区书记区长等。</w:t>
      </w:r>
    </w:p>
    <w:p w:rsidR="009F1492" w:rsidRPr="009F1492" w:rsidRDefault="009B607F"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9F1492" w:rsidRPr="009F1492">
        <w:rPr>
          <w:rFonts w:asciiTheme="minorEastAsia" w:eastAsiaTheme="minorEastAsia" w:hAnsiTheme="minorEastAsia" w:hint="eastAsia"/>
          <w:sz w:val="24"/>
        </w:rPr>
        <w:t>杰出科学家：诺贝尔奖、菲尔兹奖、沃尔夫奖、邵逸夫奖、阿贝尔奖等世界科学奖励获得者，中国科学院和中国工程院院士，国家最高科技奖、光华工程科技奖成就奖、国务院学位委员会委员、长江学者成就奖、何梁何利基金成就奖等获得者，美国、法国、英国、加拿大、俄罗斯和发展中国家等科学院和工程院院士、中国杰出人文社会科学家入选者，教育部长</w:t>
      </w:r>
      <w:proofErr w:type="gramStart"/>
      <w:r w:rsidR="009F1492" w:rsidRPr="009F1492">
        <w:rPr>
          <w:rFonts w:asciiTheme="minorEastAsia" w:eastAsiaTheme="minorEastAsia" w:hAnsiTheme="minorEastAsia" w:hint="eastAsia"/>
          <w:sz w:val="24"/>
        </w:rPr>
        <w:t>江学者</w:t>
      </w:r>
      <w:proofErr w:type="gramEnd"/>
      <w:r w:rsidR="009F1492" w:rsidRPr="009F1492">
        <w:rPr>
          <w:rFonts w:asciiTheme="minorEastAsia" w:eastAsiaTheme="minorEastAsia" w:hAnsiTheme="minorEastAsia" w:hint="eastAsia"/>
          <w:sz w:val="24"/>
        </w:rPr>
        <w:t>特聘教授及讲座教授，长江学者创新团队带头人、国家杰出青年基金获得者、国家自然科学基金委创新研究群体负责人等。</w:t>
      </w:r>
    </w:p>
    <w:p w:rsidR="009F1492" w:rsidRPr="009F1492" w:rsidRDefault="009B607F"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9F1492" w:rsidRPr="009F1492">
        <w:rPr>
          <w:rFonts w:asciiTheme="minorEastAsia" w:eastAsiaTheme="minorEastAsia" w:hAnsiTheme="minorEastAsia" w:hint="eastAsia"/>
          <w:sz w:val="24"/>
        </w:rPr>
        <w:t>杰出企业家：《财富》世界500强企业董事长、总经理、总裁，福布斯、胡润等全球亿万富豪榜上榜企业家，胡润、福布斯、南方周末和新财富等中国富豪榜上榜企业家，国内外上市公司、中央直管企业、国有重点企业董事长、总裁、总经理，国有商业银行、股份制商业银行董事长、行长等企业领导者，中国大学创业富豪排行榜上榜校友企业家（资产上亿者），公益时报、胡润和福布斯等中国慈善榜、中国大学校友捐赠榜等上榜校友企业家（捐赠50万以上者）等。</w:t>
      </w:r>
    </w:p>
    <w:p w:rsidR="009F1492" w:rsidRPr="009F1492" w:rsidRDefault="009B607F" w:rsidP="009F1492">
      <w:pPr>
        <w:autoSpaceDE w:val="0"/>
        <w:autoSpaceDN w:val="0"/>
        <w:adjustRightInd w:val="0"/>
        <w:spacing w:line="360" w:lineRule="auto"/>
        <w:ind w:firstLineChars="150" w:firstLine="360"/>
        <w:jc w:val="left"/>
        <w:rPr>
          <w:rFonts w:asciiTheme="minorEastAsia" w:eastAsiaTheme="minorEastAsia" w:hAnsiTheme="minorEastAsia"/>
          <w:sz w:val="24"/>
        </w:rPr>
      </w:pPr>
      <w:bookmarkStart w:id="3" w:name="OLE_LINK6"/>
      <w:r>
        <w:rPr>
          <w:rFonts w:asciiTheme="minorEastAsia" w:eastAsiaTheme="minorEastAsia" w:hAnsiTheme="minorEastAsia" w:hint="eastAsia"/>
          <w:sz w:val="24"/>
        </w:rPr>
        <w:t>（4）</w:t>
      </w:r>
      <w:r w:rsidR="009F1492" w:rsidRPr="009F1492">
        <w:rPr>
          <w:rFonts w:asciiTheme="minorEastAsia" w:eastAsiaTheme="minorEastAsia" w:hAnsiTheme="minorEastAsia" w:hint="eastAsia"/>
          <w:sz w:val="24"/>
        </w:rPr>
        <w:t>公益慈善模范人物</w:t>
      </w:r>
      <w:bookmarkEnd w:id="3"/>
      <w:r w:rsidR="009F1492" w:rsidRPr="009F1492">
        <w:rPr>
          <w:rFonts w:asciiTheme="minorEastAsia" w:eastAsiaTheme="minorEastAsia" w:hAnsiTheme="minorEastAsia" w:hint="eastAsia"/>
          <w:sz w:val="24"/>
        </w:rPr>
        <w:t>：中央电视台感动中国年度人物获奖者，中央有关部门组织评选的100位为新中国成立</w:t>
      </w:r>
      <w:proofErr w:type="gramStart"/>
      <w:r w:rsidR="009F1492" w:rsidRPr="009F1492">
        <w:rPr>
          <w:rFonts w:asciiTheme="minorEastAsia" w:eastAsiaTheme="minorEastAsia" w:hAnsiTheme="minorEastAsia" w:hint="eastAsia"/>
          <w:sz w:val="24"/>
        </w:rPr>
        <w:t>作出</w:t>
      </w:r>
      <w:proofErr w:type="gramEnd"/>
      <w:r w:rsidR="009F1492" w:rsidRPr="009F1492">
        <w:rPr>
          <w:rFonts w:asciiTheme="minorEastAsia" w:eastAsiaTheme="minorEastAsia" w:hAnsiTheme="minorEastAsia" w:hint="eastAsia"/>
          <w:sz w:val="24"/>
        </w:rPr>
        <w:t>突出贡献的英雄模范人物和100位新中国成立以来感动中国人物入选者，中央文明办、全国总工会、共青团中央和全国妇联等主办第一届至第四届全国道德模范获奖者，公益时报、胡润和福布斯等中国</w:t>
      </w:r>
      <w:proofErr w:type="gramStart"/>
      <w:r w:rsidR="009F1492" w:rsidRPr="009F1492">
        <w:rPr>
          <w:rFonts w:asciiTheme="minorEastAsia" w:eastAsiaTheme="minorEastAsia" w:hAnsiTheme="minorEastAsia" w:hint="eastAsia"/>
          <w:sz w:val="24"/>
        </w:rPr>
        <w:t>慈善榜</w:t>
      </w:r>
      <w:proofErr w:type="gramEnd"/>
      <w:r w:rsidR="009F1492" w:rsidRPr="009F1492">
        <w:rPr>
          <w:rFonts w:asciiTheme="minorEastAsia" w:eastAsiaTheme="minorEastAsia" w:hAnsiTheme="minorEastAsia" w:hint="eastAsia"/>
          <w:sz w:val="24"/>
        </w:rPr>
        <w:t>上榜慈善家和中国大学校友捐赠榜等上榜校友（捐赠10万以上者）等。</w:t>
      </w:r>
    </w:p>
    <w:p w:rsidR="009F1492" w:rsidRPr="009F1492" w:rsidRDefault="009B607F"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（5）</w:t>
      </w:r>
      <w:r w:rsidR="009F1492" w:rsidRPr="009F1492">
        <w:rPr>
          <w:rFonts w:asciiTheme="minorEastAsia" w:eastAsiaTheme="minorEastAsia" w:hAnsiTheme="minorEastAsia" w:hint="eastAsia"/>
          <w:sz w:val="24"/>
        </w:rPr>
        <w:t>文艺体杰出人才：诺贝尔文学奖、中国金话筒奖、奥运会金牌、鲁迅文学奖、茅盾文学奖、中国电影金鸡奖与百花奖、中国香港电影金像奖、中国台湾电影金马奖、中国电视金鹰奖和中国电视剧飞天奖等获得者。</w:t>
      </w:r>
    </w:p>
    <w:p w:rsidR="009F1492" w:rsidRPr="009F1492" w:rsidRDefault="009B607F" w:rsidP="009F149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（6）</w:t>
      </w:r>
      <w:r w:rsidR="009F1492" w:rsidRPr="009F1492">
        <w:rPr>
          <w:rFonts w:asciiTheme="minorEastAsia" w:eastAsiaTheme="minorEastAsia" w:hAnsiTheme="minorEastAsia" w:hint="eastAsia"/>
          <w:sz w:val="24"/>
        </w:rPr>
        <w:t>“优秀博士论文获得者”是</w:t>
      </w:r>
      <w:proofErr w:type="gramStart"/>
      <w:r w:rsidR="009F1492" w:rsidRPr="009F1492">
        <w:rPr>
          <w:rFonts w:asciiTheme="minorEastAsia" w:eastAsiaTheme="minorEastAsia" w:hAnsiTheme="minorEastAsia" w:hint="eastAsia"/>
          <w:sz w:val="24"/>
        </w:rPr>
        <w:t>指全国</w:t>
      </w:r>
      <w:proofErr w:type="gramEnd"/>
      <w:r w:rsidR="009F1492" w:rsidRPr="009F1492">
        <w:rPr>
          <w:rFonts w:asciiTheme="minorEastAsia" w:eastAsiaTheme="minorEastAsia" w:hAnsiTheme="minorEastAsia" w:hint="eastAsia"/>
          <w:sz w:val="24"/>
        </w:rPr>
        <w:t>优秀博士论文奖获得者（含提名奖）、教育部博士研究生学术新人奖获得者、全国各省市自治区的优秀博士学术论文获得者等。</w:t>
      </w:r>
    </w:p>
    <w:p w:rsidR="009F1492" w:rsidRDefault="009B607F" w:rsidP="00C025C2">
      <w:pPr>
        <w:autoSpaceDE w:val="0"/>
        <w:autoSpaceDN w:val="0"/>
        <w:adjustRightInd w:val="0"/>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3.</w:t>
      </w:r>
      <w:r w:rsidR="009F1492" w:rsidRPr="009F1492">
        <w:rPr>
          <w:rFonts w:asciiTheme="minorEastAsia" w:eastAsiaTheme="minorEastAsia" w:hAnsiTheme="minorEastAsia" w:hint="eastAsia"/>
          <w:b/>
          <w:sz w:val="24"/>
        </w:rPr>
        <w:t>杰出师资</w:t>
      </w:r>
    </w:p>
    <w:p w:rsidR="009F1492" w:rsidRDefault="009F1492" w:rsidP="00C025C2">
      <w:pPr>
        <w:autoSpaceDE w:val="0"/>
        <w:autoSpaceDN w:val="0"/>
        <w:adjustRightInd w:val="0"/>
        <w:spacing w:line="360" w:lineRule="auto"/>
        <w:ind w:firstLineChars="200" w:firstLine="480"/>
        <w:jc w:val="left"/>
        <w:rPr>
          <w:rFonts w:asciiTheme="minorEastAsia" w:eastAsiaTheme="minorEastAsia" w:hAnsiTheme="minorEastAsia"/>
          <w:sz w:val="24"/>
        </w:rPr>
      </w:pPr>
      <w:r w:rsidRPr="009F1492">
        <w:rPr>
          <w:rFonts w:asciiTheme="minorEastAsia" w:eastAsiaTheme="minorEastAsia" w:hAnsiTheme="minorEastAsia" w:hint="eastAsia"/>
          <w:sz w:val="24"/>
        </w:rPr>
        <w:lastRenderedPageBreak/>
        <w:t>包括世界级、国家级和部级科学家、专家学者和教学名师等。</w:t>
      </w:r>
    </w:p>
    <w:p w:rsidR="009F1492" w:rsidRPr="009F1492" w:rsidRDefault="009B607F"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9F1492" w:rsidRPr="009F1492">
        <w:rPr>
          <w:rFonts w:asciiTheme="minorEastAsia" w:eastAsiaTheme="minorEastAsia" w:hAnsiTheme="minorEastAsia" w:hint="eastAsia"/>
          <w:sz w:val="24"/>
        </w:rPr>
        <w:t>自然科学领域：诺贝尔奖、菲尔兹奖、沃尔夫奖、邵逸夫奖、阿贝尔奖等世界科技奖励获得者、汤森路透(Thomson Reuters)全球高被引科学家、中国科学院与中国工程院院士、美国、法国、英国、加拿大、俄罗斯和发展中国家等国外院士、国家科学技术奖励第一完成人、国家千人计划入选者、中国两院院士增选第一轮有效候选人、何梁何利奖获得者、全国杰出专业技术人才、长江学者特聘教授及讲座教授、长江学者创新团队带头人、</w:t>
      </w:r>
      <w:r w:rsidR="009F1492" w:rsidRPr="00866381">
        <w:rPr>
          <w:rFonts w:asciiTheme="minorEastAsia" w:eastAsiaTheme="minorEastAsia" w:hAnsiTheme="minorEastAsia" w:hint="eastAsia"/>
          <w:color w:val="FF0000"/>
          <w:sz w:val="24"/>
        </w:rPr>
        <w:t>国家杰出青年基金获得者</w:t>
      </w:r>
      <w:r w:rsidR="009F1492" w:rsidRPr="009F1492">
        <w:rPr>
          <w:rFonts w:asciiTheme="minorEastAsia" w:eastAsiaTheme="minorEastAsia" w:hAnsiTheme="minorEastAsia" w:hint="eastAsia"/>
          <w:sz w:val="24"/>
        </w:rPr>
        <w:t>、中国科学院百人计划学者等。</w:t>
      </w:r>
    </w:p>
    <w:p w:rsidR="009F1492" w:rsidRPr="009F1492" w:rsidRDefault="009B607F"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9F1492" w:rsidRPr="009F1492">
        <w:rPr>
          <w:rFonts w:asciiTheme="minorEastAsia" w:eastAsiaTheme="minorEastAsia" w:hAnsiTheme="minorEastAsia" w:hint="eastAsia"/>
          <w:sz w:val="24"/>
        </w:rPr>
        <w:t>人文社会科学领域：中国杰出人文社会科学家、中南海讲师、国家社科基金重大招标项目首席专家和教育部哲学社会科学研究重大课题攻关项目首席专家等。</w:t>
      </w:r>
    </w:p>
    <w:p w:rsidR="009F1492" w:rsidRPr="009F1492" w:rsidRDefault="009B607F"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9F1492" w:rsidRPr="009F1492">
        <w:rPr>
          <w:rFonts w:asciiTheme="minorEastAsia" w:eastAsiaTheme="minorEastAsia" w:hAnsiTheme="minorEastAsia" w:hint="eastAsia"/>
          <w:sz w:val="24"/>
        </w:rPr>
        <w:t>教学名师：全国教书育人楷模、国家教学名师、国家级教学团队、全国优秀博士学位论文指导导师和教育部教学指导委员会委员等。</w:t>
      </w:r>
    </w:p>
    <w:p w:rsidR="009F1492" w:rsidRPr="009F1492" w:rsidRDefault="009B607F"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（4）</w:t>
      </w:r>
      <w:r w:rsidR="009F1492" w:rsidRPr="009F1492">
        <w:rPr>
          <w:rFonts w:asciiTheme="minorEastAsia" w:eastAsiaTheme="minorEastAsia" w:hAnsiTheme="minorEastAsia" w:hint="eastAsia"/>
          <w:sz w:val="24"/>
        </w:rPr>
        <w:t>人才计划与奖励：国家万人计划学者、全国杰出专业技术人才、中国工程院光华工程科技奖获得者、国家青年千人计划入选者、中国青年科学家奖获得者、中国青年女科学家奖获得者、中国青年科技奖等获得者，教育部新世纪优秀人才支持计划获得者、高校青年教师奖获得者</w:t>
      </w:r>
      <w:bookmarkStart w:id="4" w:name="OLE_LINK3"/>
      <w:r w:rsidR="009F1492" w:rsidRPr="009F1492">
        <w:rPr>
          <w:rFonts w:asciiTheme="minorEastAsia" w:eastAsiaTheme="minorEastAsia" w:hAnsiTheme="minorEastAsia" w:hint="eastAsia"/>
          <w:sz w:val="24"/>
        </w:rPr>
        <w:t>等</w:t>
      </w:r>
      <w:bookmarkEnd w:id="4"/>
      <w:r w:rsidR="009F1492" w:rsidRPr="009F1492">
        <w:rPr>
          <w:rFonts w:asciiTheme="minorEastAsia" w:eastAsiaTheme="minorEastAsia" w:hAnsiTheme="minorEastAsia" w:hint="eastAsia"/>
          <w:sz w:val="24"/>
        </w:rPr>
        <w:t>。</w:t>
      </w:r>
    </w:p>
    <w:p w:rsidR="009F1492" w:rsidRDefault="00C025C2" w:rsidP="00C025C2">
      <w:pPr>
        <w:autoSpaceDE w:val="0"/>
        <w:autoSpaceDN w:val="0"/>
        <w:adjustRightInd w:val="0"/>
        <w:spacing w:line="360" w:lineRule="auto"/>
        <w:ind w:firstLineChars="150" w:firstLine="361"/>
        <w:jc w:val="left"/>
        <w:rPr>
          <w:rFonts w:asciiTheme="minorEastAsia" w:eastAsiaTheme="minorEastAsia" w:hAnsiTheme="minorEastAsia"/>
          <w:b/>
          <w:sz w:val="24"/>
        </w:rPr>
      </w:pPr>
      <w:r w:rsidRPr="00C025C2">
        <w:rPr>
          <w:rFonts w:asciiTheme="minorEastAsia" w:eastAsiaTheme="minorEastAsia" w:hAnsiTheme="minorEastAsia" w:hint="eastAsia"/>
          <w:b/>
          <w:sz w:val="24"/>
        </w:rPr>
        <w:t xml:space="preserve"> </w:t>
      </w:r>
      <w:r w:rsidR="009B607F">
        <w:rPr>
          <w:rFonts w:asciiTheme="minorEastAsia" w:eastAsiaTheme="minorEastAsia" w:hAnsiTheme="minorEastAsia" w:hint="eastAsia"/>
          <w:b/>
          <w:sz w:val="24"/>
        </w:rPr>
        <w:t>4.</w:t>
      </w:r>
      <w:r w:rsidRPr="00C025C2">
        <w:rPr>
          <w:rFonts w:asciiTheme="minorEastAsia" w:eastAsiaTheme="minorEastAsia" w:hAnsiTheme="minorEastAsia" w:hint="eastAsia"/>
          <w:b/>
          <w:sz w:val="24"/>
        </w:rPr>
        <w:t>学科建设</w:t>
      </w:r>
    </w:p>
    <w:p w:rsidR="00C025C2" w:rsidRDefault="00C025C2"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sidRPr="00C025C2">
        <w:rPr>
          <w:rFonts w:asciiTheme="minorEastAsia" w:eastAsiaTheme="minorEastAsia" w:hAnsiTheme="minorEastAsia" w:hint="eastAsia"/>
          <w:sz w:val="24"/>
        </w:rPr>
        <w:t>包括学科层次、世界、国家级高水平学科和研究生院等。</w:t>
      </w:r>
    </w:p>
    <w:p w:rsidR="00C025C2" w:rsidRDefault="00C025C2" w:rsidP="00C025C2">
      <w:pPr>
        <w:autoSpaceDE w:val="0"/>
        <w:autoSpaceDN w:val="0"/>
        <w:adjustRightInd w:val="0"/>
        <w:spacing w:line="360" w:lineRule="auto"/>
        <w:ind w:firstLineChars="150" w:firstLine="360"/>
        <w:jc w:val="left"/>
        <w:rPr>
          <w:rFonts w:asciiTheme="minorEastAsia" w:eastAsiaTheme="minorEastAsia" w:hAnsiTheme="minorEastAsia"/>
          <w:sz w:val="24"/>
        </w:rPr>
      </w:pPr>
      <w:r w:rsidRPr="00C025C2">
        <w:rPr>
          <w:rFonts w:asciiTheme="minorEastAsia" w:eastAsiaTheme="minorEastAsia" w:hAnsiTheme="minorEastAsia" w:hint="eastAsia"/>
          <w:sz w:val="24"/>
        </w:rPr>
        <w:t>学科层次：教育部学位与研究生教育发展中心2012年学科评估结果、国家111计划学科创新基地（高等学校学科创新引智计划）、博士后科研流动站、国家一二级重点学科及培育学科、国家一二级学科博士点及硕士点、国家级特色专业建设点、教育部卓越法律、工程师和农林等人才教育培养计划学科专业等。</w:t>
      </w:r>
    </w:p>
    <w:p w:rsidR="00C025C2" w:rsidRDefault="009B607F" w:rsidP="009B607F">
      <w:pPr>
        <w:autoSpaceDE w:val="0"/>
        <w:autoSpaceDN w:val="0"/>
        <w:adjustRightInd w:val="0"/>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5.</w:t>
      </w:r>
      <w:r w:rsidR="00C025C2" w:rsidRPr="00C025C2">
        <w:rPr>
          <w:rFonts w:asciiTheme="minorEastAsia" w:eastAsiaTheme="minorEastAsia" w:hAnsiTheme="minorEastAsia" w:hint="eastAsia"/>
          <w:b/>
          <w:sz w:val="24"/>
        </w:rPr>
        <w:t>科研成果</w:t>
      </w:r>
    </w:p>
    <w:p w:rsidR="00C025C2" w:rsidRDefault="00C025C2" w:rsidP="00C025C2">
      <w:pPr>
        <w:autoSpaceDE w:val="0"/>
        <w:autoSpaceDN w:val="0"/>
        <w:adjustRightInd w:val="0"/>
        <w:spacing w:line="360" w:lineRule="auto"/>
        <w:ind w:firstLineChars="150" w:firstLine="360"/>
        <w:jc w:val="left"/>
        <w:rPr>
          <w:rFonts w:asciiTheme="minorEastAsia" w:eastAsiaTheme="minorEastAsia" w:hAnsiTheme="minorEastAsia"/>
          <w:bCs/>
          <w:sz w:val="24"/>
        </w:rPr>
      </w:pPr>
      <w:r w:rsidRPr="00C025C2">
        <w:rPr>
          <w:rFonts w:asciiTheme="minorEastAsia" w:eastAsiaTheme="minorEastAsia" w:hAnsiTheme="minorEastAsia" w:hint="eastAsia"/>
          <w:bCs/>
          <w:sz w:val="24"/>
        </w:rPr>
        <w:t>包括世界级科研奖励、国际高水平学术论文、国家级和省部级科研奖励成果等。</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1B494E" w:rsidRPr="001B494E">
        <w:rPr>
          <w:rFonts w:asciiTheme="minorEastAsia" w:eastAsiaTheme="minorEastAsia" w:hAnsiTheme="minorEastAsia" w:hint="eastAsia"/>
          <w:sz w:val="24"/>
        </w:rPr>
        <w:t>世界级科研奖励：诺贝尔奖、菲尔兹奖、沃尔夫奖、邵逸夫奖、阿贝尔奖等世界级科学奖励。</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1B494E" w:rsidRPr="001B494E">
        <w:rPr>
          <w:rFonts w:asciiTheme="minorEastAsia" w:eastAsiaTheme="minorEastAsia" w:hAnsiTheme="minorEastAsia" w:hint="eastAsia"/>
          <w:sz w:val="24"/>
        </w:rPr>
        <w:t>高水平学术论文：ESI国际高被引学术论文、发表在《自然》（Nature）、</w:t>
      </w:r>
      <w:r w:rsidR="001B494E" w:rsidRPr="001B494E">
        <w:rPr>
          <w:rFonts w:asciiTheme="minorEastAsia" w:eastAsiaTheme="minorEastAsia" w:hAnsiTheme="minorEastAsia" w:hint="eastAsia"/>
          <w:sz w:val="24"/>
        </w:rPr>
        <w:lastRenderedPageBreak/>
        <w:t>《科学》（Science）和《细胞》（CELL）杂志学术论文、中国科学技术信息研究所最具影响力国际和国内百篇学术论文、《人大复印报刊资料》转载学术论文等。</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1B494E" w:rsidRPr="001B494E">
        <w:rPr>
          <w:rFonts w:asciiTheme="minorEastAsia" w:eastAsiaTheme="minorEastAsia" w:hAnsiTheme="minorEastAsia" w:hint="eastAsia"/>
          <w:sz w:val="24"/>
        </w:rPr>
        <w:t>国家级科研奖励：国家最高科技奖、自然科学奖、技术发明奖、科技进步奖、创新团队、中国十大科技进展奖、中国科学十大进展（原中国基础研究十大新闻）、中国高校十大科技进展奖、国家社科基金项目优秀成果奖、中国高校人文社会科学研究优秀成果奖、国家社科基金成果文库入选成果、国防院校科研特殊贡献等。</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（4）</w:t>
      </w:r>
      <w:r w:rsidR="001B494E" w:rsidRPr="001B494E">
        <w:rPr>
          <w:rFonts w:asciiTheme="minorEastAsia" w:eastAsiaTheme="minorEastAsia" w:hAnsiTheme="minorEastAsia" w:hint="eastAsia"/>
          <w:sz w:val="24"/>
        </w:rPr>
        <w:t>部省级科研奖励：教育部高等学校科学研究优秀成果奖（科学技术）(含自然科学奖、技术发明奖、科技进步奖、专利奖)、中国专利奖、中国标准创新贡献奖、国家图书奖、中国出版政府奖、国家科学技术学术著作出版基金资助项目、全国各省市区、新疆生产建设兵团科学技术奖励和哲学社会科学优秀成果奖等。</w:t>
      </w:r>
    </w:p>
    <w:p w:rsidR="001B494E" w:rsidRDefault="009B607F" w:rsidP="001B494E">
      <w:pPr>
        <w:autoSpaceDE w:val="0"/>
        <w:autoSpaceDN w:val="0"/>
        <w:adjustRightInd w:val="0"/>
        <w:spacing w:line="360" w:lineRule="auto"/>
        <w:ind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sidR="001B494E">
        <w:rPr>
          <w:rFonts w:asciiTheme="minorEastAsia" w:eastAsiaTheme="minorEastAsia" w:hAnsiTheme="minorEastAsia" w:hint="eastAsia"/>
          <w:b/>
          <w:bCs/>
          <w:sz w:val="24"/>
        </w:rPr>
        <w:t>创新基地</w:t>
      </w:r>
    </w:p>
    <w:p w:rsidR="001B494E" w:rsidRPr="001B494E" w:rsidRDefault="001B494E" w:rsidP="001B494E">
      <w:pPr>
        <w:autoSpaceDE w:val="0"/>
        <w:autoSpaceDN w:val="0"/>
        <w:adjustRightInd w:val="0"/>
        <w:spacing w:line="360" w:lineRule="auto"/>
        <w:ind w:firstLineChars="200" w:firstLine="480"/>
        <w:jc w:val="left"/>
        <w:rPr>
          <w:rFonts w:asciiTheme="minorEastAsia" w:eastAsiaTheme="minorEastAsia" w:hAnsiTheme="minorEastAsia"/>
          <w:sz w:val="24"/>
        </w:rPr>
      </w:pPr>
      <w:r w:rsidRPr="001B494E">
        <w:rPr>
          <w:rFonts w:asciiTheme="minorEastAsia" w:eastAsiaTheme="minorEastAsia" w:hAnsiTheme="minorEastAsia" w:hint="eastAsia"/>
          <w:bCs/>
          <w:sz w:val="24"/>
        </w:rPr>
        <w:t>包括国家级、部级知识生产基地、技术创新与成果转化基地、学术平台等。</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1B494E" w:rsidRPr="001B494E">
        <w:rPr>
          <w:rFonts w:asciiTheme="minorEastAsia" w:eastAsiaTheme="minorEastAsia" w:hAnsiTheme="minorEastAsia" w:hint="eastAsia"/>
          <w:sz w:val="24"/>
        </w:rPr>
        <w:t>知识生产基地：国家实验室、国家重点实验室、国防重点实验室、国家重点实验室培育基地、教育部（含省部共建）重点实验室、国防重点学科实验室、教育部（含省部共建）人文社会科学重点研究基地、国家2011计划协同创新中心、全国各省市区、新疆生产建设兵团2011计划协同创新中心等。</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1B494E" w:rsidRPr="001B494E">
        <w:rPr>
          <w:rFonts w:asciiTheme="minorEastAsia" w:eastAsiaTheme="minorEastAsia" w:hAnsiTheme="minorEastAsia" w:hint="eastAsia"/>
          <w:sz w:val="24"/>
        </w:rPr>
        <w:t>技术创新与成果转化基地：国家工程研究中心、国家工程实验室、国家工程技术研究中心、国家地方联合工程研究中心和工程实验室、国家重大科学仪器设备开发专项、国家重大科研仪器设备研制专项、教育部工程研究中心（含省部共建）、国家技术转移机构、国家大学科技园</w:t>
      </w:r>
      <w:bookmarkStart w:id="5" w:name="OLE_LINK14"/>
      <w:r w:rsidR="001B494E" w:rsidRPr="001B494E">
        <w:rPr>
          <w:rFonts w:asciiTheme="minorEastAsia" w:eastAsiaTheme="minorEastAsia" w:hAnsiTheme="minorEastAsia" w:hint="eastAsia"/>
          <w:sz w:val="24"/>
        </w:rPr>
        <w:t>、国际科技合作基地和国际合作联合实验室等</w:t>
      </w:r>
      <w:bookmarkEnd w:id="5"/>
      <w:r w:rsidR="001B494E" w:rsidRPr="001B494E">
        <w:rPr>
          <w:rFonts w:asciiTheme="minorEastAsia" w:eastAsiaTheme="minorEastAsia" w:hAnsiTheme="minorEastAsia" w:hint="eastAsia"/>
          <w:sz w:val="24"/>
        </w:rPr>
        <w:t>。</w:t>
      </w:r>
    </w:p>
    <w:p w:rsidR="001B494E" w:rsidRP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1B494E" w:rsidRPr="001B494E">
        <w:rPr>
          <w:rFonts w:asciiTheme="minorEastAsia" w:eastAsiaTheme="minorEastAsia" w:hAnsiTheme="minorEastAsia" w:hint="eastAsia"/>
          <w:sz w:val="24"/>
        </w:rPr>
        <w:t>期刊奖励与资助：国家期刊奖、中国科协精品科技期刊示范项目和英文版期刊国际推广项目、教育部中国高校精品优秀特色科技期刊奖、中国百种杰出学术期刊、国家自然科学基金重点学术期刊专项基金资助期刊、国家社科基金学术期刊资助期刊等。</w:t>
      </w:r>
    </w:p>
    <w:p w:rsidR="001B494E" w:rsidRDefault="009B607F" w:rsidP="001B494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（4）</w:t>
      </w:r>
      <w:r w:rsidR="001B494E" w:rsidRPr="001B494E">
        <w:rPr>
          <w:rFonts w:asciiTheme="minorEastAsia" w:eastAsiaTheme="minorEastAsia" w:hAnsiTheme="minorEastAsia" w:hint="eastAsia"/>
          <w:sz w:val="24"/>
        </w:rPr>
        <w:t>出版社和高水平期刊：主办的大学出版社、国际三大索引（SCI、EI、ISTP）来源期刊，国内核心期刊（北大中文核心期刊、南大中文社会科学引文索</w:t>
      </w:r>
      <w:r w:rsidR="001B494E" w:rsidRPr="001B494E">
        <w:rPr>
          <w:rFonts w:asciiTheme="minorEastAsia" w:eastAsiaTheme="minorEastAsia" w:hAnsiTheme="minorEastAsia" w:hint="eastAsia"/>
          <w:sz w:val="24"/>
        </w:rPr>
        <w:lastRenderedPageBreak/>
        <w:t>引（CSSCI）、中信所中国科技核心期刊、中国社会科学院文献信息中心中国人文社会科学核心期刊、中国科学院文献情报中心中国科学引文数据库（CSCD）来源期刊、中国人文社会科学学报学会中国人文社科学报核心期刊等）收录期刊等。</w:t>
      </w:r>
    </w:p>
    <w:p w:rsidR="00637743" w:rsidRPr="00637743" w:rsidRDefault="009B607F" w:rsidP="009B607F">
      <w:pPr>
        <w:autoSpaceDE w:val="0"/>
        <w:autoSpaceDN w:val="0"/>
        <w:adjustRightInd w:val="0"/>
        <w:spacing w:line="360" w:lineRule="auto"/>
        <w:ind w:firstLineChars="150" w:firstLine="360"/>
        <w:rPr>
          <w:rFonts w:asciiTheme="minorEastAsia" w:eastAsiaTheme="minorEastAsia" w:hAnsiTheme="minorEastAsia"/>
          <w:b/>
          <w:bCs/>
          <w:sz w:val="24"/>
        </w:rPr>
      </w:pPr>
      <w:r>
        <w:rPr>
          <w:rFonts w:asciiTheme="minorEastAsia" w:eastAsiaTheme="minorEastAsia" w:hAnsiTheme="minorEastAsia" w:hint="eastAsia"/>
          <w:sz w:val="24"/>
        </w:rPr>
        <w:t>7.</w:t>
      </w:r>
      <w:r w:rsidR="00637743" w:rsidRPr="00637743">
        <w:rPr>
          <w:rFonts w:asciiTheme="minorEastAsia" w:eastAsiaTheme="minorEastAsia" w:hAnsiTheme="minorEastAsia" w:hint="eastAsia"/>
          <w:b/>
          <w:bCs/>
          <w:sz w:val="24"/>
        </w:rPr>
        <w:t>基</w:t>
      </w:r>
      <w:proofErr w:type="gramStart"/>
      <w:r w:rsidR="00637743" w:rsidRPr="00637743">
        <w:rPr>
          <w:rFonts w:asciiTheme="minorEastAsia" w:eastAsiaTheme="minorEastAsia" w:hAnsiTheme="minorEastAsia" w:hint="eastAsia"/>
          <w:b/>
          <w:bCs/>
          <w:sz w:val="24"/>
        </w:rPr>
        <w:t>研</w:t>
      </w:r>
      <w:proofErr w:type="gramEnd"/>
      <w:r w:rsidR="00637743" w:rsidRPr="00637743">
        <w:rPr>
          <w:rFonts w:asciiTheme="minorEastAsia" w:eastAsiaTheme="minorEastAsia" w:hAnsiTheme="minorEastAsia" w:hint="eastAsia"/>
          <w:b/>
          <w:bCs/>
          <w:sz w:val="24"/>
        </w:rPr>
        <w:t>项目</w:t>
      </w:r>
    </w:p>
    <w:p w:rsidR="00637743" w:rsidRPr="00637743" w:rsidRDefault="00637743" w:rsidP="00637743">
      <w:pPr>
        <w:autoSpaceDE w:val="0"/>
        <w:autoSpaceDN w:val="0"/>
        <w:adjustRightInd w:val="0"/>
        <w:spacing w:line="360" w:lineRule="auto"/>
        <w:ind w:firstLineChars="150" w:firstLine="360"/>
        <w:rPr>
          <w:rFonts w:asciiTheme="minorEastAsia" w:eastAsiaTheme="minorEastAsia" w:hAnsiTheme="minorEastAsia"/>
          <w:sz w:val="24"/>
        </w:rPr>
      </w:pPr>
      <w:r w:rsidRPr="00637743">
        <w:rPr>
          <w:rFonts w:asciiTheme="minorEastAsia" w:eastAsiaTheme="minorEastAsia" w:hAnsiTheme="minorEastAsia" w:hint="eastAsia"/>
          <w:bCs/>
          <w:sz w:val="24"/>
        </w:rPr>
        <w:t>包括国家级、部级重大科研基础性研究项目和基金项目。</w:t>
      </w:r>
    </w:p>
    <w:p w:rsidR="00637743" w:rsidRPr="00637743" w:rsidRDefault="009B607F" w:rsidP="00637743">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637743" w:rsidRPr="00637743">
        <w:rPr>
          <w:rFonts w:asciiTheme="minorEastAsia" w:eastAsiaTheme="minorEastAsia" w:hAnsiTheme="minorEastAsia" w:hint="eastAsia"/>
          <w:sz w:val="24"/>
        </w:rPr>
        <w:t>国家级基础研究项目：国家重点基础研究发展计划（973计划）、国家重大科学研究计划项目、国家自然科学基金项目、国家社会科学基金项目、国家软科学研究计划项目等。</w:t>
      </w:r>
    </w:p>
    <w:p w:rsidR="00637743" w:rsidRDefault="009B607F" w:rsidP="00637743">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637743" w:rsidRPr="00637743">
        <w:rPr>
          <w:rFonts w:asciiTheme="minorEastAsia" w:eastAsiaTheme="minorEastAsia" w:hAnsiTheme="minorEastAsia" w:hint="eastAsia"/>
          <w:sz w:val="24"/>
        </w:rPr>
        <w:t>部级基础研究项目：教育部科学技术研究项目、教育部人文社会科学研究项目、教育部博士点基金立项课题、中国博士后科学基金项目等。</w:t>
      </w:r>
    </w:p>
    <w:p w:rsidR="002913BE" w:rsidRDefault="009B607F" w:rsidP="009B607F">
      <w:pPr>
        <w:autoSpaceDE w:val="0"/>
        <w:autoSpaceDN w:val="0"/>
        <w:adjustRightInd w:val="0"/>
        <w:spacing w:line="360" w:lineRule="auto"/>
        <w:ind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8.</w:t>
      </w:r>
      <w:r w:rsidR="002913BE">
        <w:rPr>
          <w:rFonts w:asciiTheme="minorEastAsia" w:eastAsiaTheme="minorEastAsia" w:hAnsiTheme="minorEastAsia" w:hint="eastAsia"/>
          <w:b/>
          <w:bCs/>
          <w:sz w:val="24"/>
        </w:rPr>
        <w:t>社会影响</w:t>
      </w:r>
    </w:p>
    <w:p w:rsidR="002913BE" w:rsidRPr="002913BE" w:rsidRDefault="002913BE" w:rsidP="00244001">
      <w:pPr>
        <w:autoSpaceDE w:val="0"/>
        <w:autoSpaceDN w:val="0"/>
        <w:adjustRightInd w:val="0"/>
        <w:spacing w:line="360" w:lineRule="auto"/>
        <w:ind w:firstLineChars="200" w:firstLine="480"/>
        <w:jc w:val="left"/>
        <w:rPr>
          <w:rFonts w:asciiTheme="minorEastAsia" w:eastAsiaTheme="minorEastAsia" w:hAnsiTheme="minorEastAsia"/>
          <w:sz w:val="24"/>
        </w:rPr>
      </w:pPr>
      <w:r w:rsidRPr="002913BE">
        <w:rPr>
          <w:rFonts w:asciiTheme="minorEastAsia" w:eastAsiaTheme="minorEastAsia" w:hAnsiTheme="minorEastAsia" w:hint="eastAsia"/>
          <w:bCs/>
          <w:sz w:val="24"/>
        </w:rPr>
        <w:t>由办学定位、媒体影响力、生源竞争力、校友捐赠和国际影响力等组成；</w:t>
      </w:r>
      <w:r w:rsidRPr="002913BE">
        <w:rPr>
          <w:rFonts w:asciiTheme="minorEastAsia" w:eastAsiaTheme="minorEastAsia" w:hAnsiTheme="minorEastAsia" w:hint="eastAsia"/>
          <w:sz w:val="24"/>
        </w:rPr>
        <w:t>增设国防院校特别社会影响力指标，指标全部为第三</w:t>
      </w:r>
      <w:proofErr w:type="gramStart"/>
      <w:r w:rsidRPr="002913BE">
        <w:rPr>
          <w:rFonts w:asciiTheme="minorEastAsia" w:eastAsiaTheme="minorEastAsia" w:hAnsiTheme="minorEastAsia" w:hint="eastAsia"/>
          <w:sz w:val="24"/>
        </w:rPr>
        <w:t>方客观</w:t>
      </w:r>
      <w:proofErr w:type="gramEnd"/>
      <w:r w:rsidRPr="002913BE">
        <w:rPr>
          <w:rFonts w:asciiTheme="minorEastAsia" w:eastAsiaTheme="minorEastAsia" w:hAnsiTheme="minorEastAsia" w:hint="eastAsia"/>
          <w:sz w:val="24"/>
        </w:rPr>
        <w:t>数据，未采用主观打分数据或自建数据库数据。</w:t>
      </w:r>
    </w:p>
    <w:p w:rsidR="002913BE" w:rsidRPr="002913BE" w:rsidRDefault="009B607F" w:rsidP="002913B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（1）</w:t>
      </w:r>
      <w:r w:rsidR="002913BE" w:rsidRPr="002913BE">
        <w:rPr>
          <w:rFonts w:asciiTheme="minorEastAsia" w:eastAsiaTheme="minorEastAsia" w:hAnsiTheme="minorEastAsia" w:hint="eastAsia"/>
          <w:sz w:val="24"/>
        </w:rPr>
        <w:t>“办学定位”是指高校是否入选国家985工程、985工程优势学科创新平台建设、211工程；是否设有研究生院、是否入选国家中西部高校基础能力建设工程（西部211工程）、省部共建大学、中央直管大学（副部级大学）、全国毕业生就业典型高校；是否具有教授或者副教授评审权、是否具有推荐免试硕士生资格、是否拥有博士及硕士授予权。</w:t>
      </w:r>
    </w:p>
    <w:p w:rsidR="002913BE" w:rsidRPr="002913BE" w:rsidRDefault="009B607F" w:rsidP="002913B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（2）</w:t>
      </w:r>
      <w:r w:rsidR="002913BE" w:rsidRPr="002913BE">
        <w:rPr>
          <w:rFonts w:asciiTheme="minorEastAsia" w:eastAsiaTheme="minorEastAsia" w:hAnsiTheme="minorEastAsia" w:hint="eastAsia"/>
          <w:sz w:val="24"/>
        </w:rPr>
        <w:t>“校友捐赠”是指大学接收的学生、毕业生和教师等捐赠。“校友捐赠”是指中国大学1952年(含)以后毕业校友、在读学生和教师捐赠的总额；校友仅统计单笔金额在10万以上捐赠，教师捐赠不受限制。</w:t>
      </w:r>
    </w:p>
    <w:p w:rsidR="002913BE" w:rsidRPr="002913BE" w:rsidRDefault="009B607F" w:rsidP="002913B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（3）</w:t>
      </w:r>
      <w:r w:rsidR="002913BE" w:rsidRPr="002913BE">
        <w:rPr>
          <w:rFonts w:asciiTheme="minorEastAsia" w:eastAsiaTheme="minorEastAsia" w:hAnsiTheme="minorEastAsia" w:hint="eastAsia"/>
          <w:sz w:val="24"/>
        </w:rPr>
        <w:t>“媒体影响力”是指国内新闻媒体对大学的新闻报道、</w:t>
      </w:r>
      <w:proofErr w:type="gramStart"/>
      <w:r w:rsidR="002913BE" w:rsidRPr="002913BE">
        <w:rPr>
          <w:rFonts w:asciiTheme="minorEastAsia" w:eastAsiaTheme="minorEastAsia" w:hAnsiTheme="minorEastAsia" w:hint="eastAsia"/>
          <w:sz w:val="24"/>
        </w:rPr>
        <w:t>高校微博等</w:t>
      </w:r>
      <w:proofErr w:type="gramEnd"/>
      <w:r w:rsidR="002913BE" w:rsidRPr="002913BE">
        <w:rPr>
          <w:rFonts w:asciiTheme="minorEastAsia" w:eastAsiaTheme="minorEastAsia" w:hAnsiTheme="minorEastAsia" w:hint="eastAsia"/>
          <w:sz w:val="24"/>
        </w:rPr>
        <w:t>新媒体影响力等指标构成</w:t>
      </w:r>
    </w:p>
    <w:p w:rsidR="002913BE" w:rsidRPr="002913BE" w:rsidRDefault="002913BE" w:rsidP="002913BE">
      <w:pPr>
        <w:autoSpaceDE w:val="0"/>
        <w:autoSpaceDN w:val="0"/>
        <w:adjustRightInd w:val="0"/>
        <w:spacing w:line="360" w:lineRule="auto"/>
        <w:ind w:firstLineChars="50" w:firstLine="120"/>
        <w:jc w:val="left"/>
        <w:rPr>
          <w:rFonts w:asciiTheme="minorEastAsia" w:eastAsiaTheme="minorEastAsia" w:hAnsiTheme="minorEastAsia"/>
          <w:sz w:val="24"/>
        </w:rPr>
      </w:pPr>
      <w:r w:rsidRPr="002913BE">
        <w:rPr>
          <w:rFonts w:asciiTheme="minorEastAsia" w:eastAsiaTheme="minorEastAsia" w:hAnsiTheme="minorEastAsia" w:hint="eastAsia"/>
          <w:sz w:val="24"/>
        </w:rPr>
        <w:t> </w:t>
      </w:r>
      <w:r w:rsidR="009B607F">
        <w:rPr>
          <w:rFonts w:asciiTheme="minorEastAsia" w:eastAsiaTheme="minorEastAsia" w:hAnsiTheme="minorEastAsia" w:hint="eastAsia"/>
          <w:sz w:val="24"/>
        </w:rPr>
        <w:t>（4）</w:t>
      </w:r>
      <w:r w:rsidRPr="002913BE">
        <w:rPr>
          <w:rFonts w:asciiTheme="minorEastAsia" w:eastAsiaTheme="minorEastAsia" w:hAnsiTheme="minorEastAsia" w:hint="eastAsia"/>
          <w:sz w:val="24"/>
        </w:rPr>
        <w:t>“生源竞争力/考生认可”是指高校录取的各省市自治区高考文科和理科状元、高考录取提档线。</w:t>
      </w:r>
    </w:p>
    <w:p w:rsidR="002913BE" w:rsidRDefault="009B607F" w:rsidP="002913BE">
      <w:pPr>
        <w:autoSpaceDE w:val="0"/>
        <w:autoSpaceDN w:val="0"/>
        <w:adjustRightInd w:val="0"/>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（5）</w:t>
      </w:r>
      <w:r w:rsidR="002913BE" w:rsidRPr="002913BE">
        <w:rPr>
          <w:rFonts w:asciiTheme="minorEastAsia" w:eastAsiaTheme="minorEastAsia" w:hAnsiTheme="minorEastAsia" w:hint="eastAsia"/>
          <w:sz w:val="24"/>
        </w:rPr>
        <w:t>“国际影响力”是指英国泰晤士报、QS和美国新闻与世界报道等世界三大权威大学排行</w:t>
      </w:r>
      <w:proofErr w:type="gramStart"/>
      <w:r w:rsidR="002913BE" w:rsidRPr="002913BE">
        <w:rPr>
          <w:rFonts w:asciiTheme="minorEastAsia" w:eastAsiaTheme="minorEastAsia" w:hAnsiTheme="minorEastAsia" w:hint="eastAsia"/>
          <w:sz w:val="24"/>
        </w:rPr>
        <w:t>榜评价</w:t>
      </w:r>
      <w:proofErr w:type="gramEnd"/>
      <w:r w:rsidR="002913BE" w:rsidRPr="002913BE">
        <w:rPr>
          <w:rFonts w:asciiTheme="minorEastAsia" w:eastAsiaTheme="minorEastAsia" w:hAnsiTheme="minorEastAsia" w:hint="eastAsia"/>
          <w:sz w:val="24"/>
        </w:rPr>
        <w:t>结果、到访的时任外国元首和政府首脑、国际学术影响力（ESI居世界前1%的论文引文）等。</w:t>
      </w:r>
    </w:p>
    <w:p w:rsidR="00637743" w:rsidRPr="002913BE" w:rsidRDefault="009B607F" w:rsidP="00244001">
      <w:pPr>
        <w:autoSpaceDE w:val="0"/>
        <w:autoSpaceDN w:val="0"/>
        <w:adjustRightInd w:val="0"/>
        <w:spacing w:line="360" w:lineRule="auto"/>
        <w:ind w:leftChars="150" w:left="435" w:hangingChars="50" w:hanging="120"/>
        <w:jc w:val="left"/>
        <w:rPr>
          <w:rFonts w:asciiTheme="minorEastAsia" w:eastAsiaTheme="minorEastAsia" w:hAnsiTheme="minorEastAsia"/>
          <w:b/>
          <w:sz w:val="24"/>
        </w:rPr>
      </w:pPr>
      <w:r>
        <w:rPr>
          <w:rFonts w:asciiTheme="minorEastAsia" w:eastAsiaTheme="minorEastAsia" w:hAnsiTheme="minorEastAsia" w:hint="eastAsia"/>
          <w:b/>
          <w:sz w:val="24"/>
        </w:rPr>
        <w:lastRenderedPageBreak/>
        <w:t>（</w:t>
      </w:r>
      <w:r w:rsidR="00953F89">
        <w:rPr>
          <w:rFonts w:asciiTheme="minorEastAsia" w:eastAsiaTheme="minorEastAsia" w:hAnsiTheme="minorEastAsia" w:hint="eastAsia"/>
          <w:b/>
          <w:sz w:val="24"/>
        </w:rPr>
        <w:t>三</w:t>
      </w:r>
      <w:r>
        <w:rPr>
          <w:rFonts w:asciiTheme="minorEastAsia" w:eastAsiaTheme="minorEastAsia" w:hAnsiTheme="minorEastAsia" w:hint="eastAsia"/>
          <w:b/>
          <w:sz w:val="24"/>
        </w:rPr>
        <w:t>）</w:t>
      </w:r>
      <w:r w:rsidR="002913BE" w:rsidRPr="002913BE">
        <w:rPr>
          <w:rFonts w:asciiTheme="minorEastAsia" w:eastAsiaTheme="minorEastAsia" w:hAnsiTheme="minorEastAsia" w:hint="eastAsia"/>
          <w:b/>
          <w:sz w:val="24"/>
        </w:rPr>
        <w:t>计算方法</w:t>
      </w:r>
    </w:p>
    <w:p w:rsidR="002C5D87" w:rsidRPr="002C5D87" w:rsidRDefault="009B607F" w:rsidP="002C5D87">
      <w:pPr>
        <w:autoSpaceDE w:val="0"/>
        <w:autoSpaceDN w:val="0"/>
        <w:adjustRightInd w:val="0"/>
        <w:spacing w:line="360" w:lineRule="auto"/>
        <w:ind w:firstLineChars="150" w:firstLine="361"/>
        <w:jc w:val="left"/>
        <w:rPr>
          <w:rFonts w:asciiTheme="minorEastAsia" w:eastAsiaTheme="minorEastAsia" w:hAnsiTheme="minorEastAsia"/>
          <w:b/>
          <w:sz w:val="24"/>
        </w:rPr>
      </w:pPr>
      <w:r>
        <w:rPr>
          <w:rFonts w:asciiTheme="minorEastAsia" w:eastAsiaTheme="minorEastAsia" w:hAnsiTheme="minorEastAsia" w:hint="eastAsia"/>
          <w:b/>
          <w:sz w:val="24"/>
        </w:rPr>
        <w:t>1.</w:t>
      </w:r>
      <w:r w:rsidR="002C5D87" w:rsidRPr="002C5D87">
        <w:rPr>
          <w:rFonts w:asciiTheme="minorEastAsia" w:eastAsiaTheme="minorEastAsia" w:hAnsiTheme="minorEastAsia" w:hint="eastAsia"/>
          <w:b/>
          <w:sz w:val="24"/>
        </w:rPr>
        <w:t>三级评价指标得分的计算</w:t>
      </w:r>
    </w:p>
    <w:p w:rsidR="002C5D87" w:rsidRPr="002C5D87" w:rsidRDefault="002C5D87" w:rsidP="002C5D87">
      <w:pPr>
        <w:autoSpaceDE w:val="0"/>
        <w:autoSpaceDN w:val="0"/>
        <w:adjustRightInd w:val="0"/>
        <w:spacing w:line="360" w:lineRule="auto"/>
        <w:ind w:firstLineChars="150" w:firstLine="360"/>
        <w:jc w:val="left"/>
        <w:rPr>
          <w:rFonts w:asciiTheme="minorEastAsia" w:eastAsiaTheme="minorEastAsia" w:hAnsiTheme="minorEastAsia"/>
          <w:sz w:val="24"/>
        </w:rPr>
      </w:pPr>
      <w:r w:rsidRPr="002C5D87">
        <w:rPr>
          <w:rFonts w:asciiTheme="minorEastAsia" w:eastAsiaTheme="minorEastAsia" w:hAnsiTheme="minorEastAsia" w:hint="eastAsia"/>
          <w:sz w:val="24"/>
        </w:rPr>
        <w:t>计算公式：上榜高校的三级评价指标得分</w:t>
      </w:r>
      <w:r w:rsidR="00783805">
        <w:rPr>
          <w:rFonts w:asciiTheme="minorEastAsia" w:eastAsiaTheme="minorEastAsia" w:hAnsiTheme="minorEastAsia" w:hint="eastAsia"/>
          <w:sz w:val="24"/>
        </w:rPr>
        <w:t>=100</w:t>
      </w:r>
      <w:r w:rsidRPr="002C5D87">
        <w:rPr>
          <w:rFonts w:asciiTheme="minorEastAsia" w:eastAsiaTheme="minorEastAsia" w:hAnsiTheme="minorEastAsia" w:hint="eastAsia"/>
          <w:sz w:val="24"/>
        </w:rPr>
        <w:t>×∑(各三级评价指标参数×系数</w:t>
      </w:r>
      <w:r w:rsidR="00783805">
        <w:rPr>
          <w:rFonts w:asciiTheme="minorEastAsia" w:eastAsiaTheme="minorEastAsia" w:hAnsiTheme="minorEastAsia" w:hint="eastAsia"/>
          <w:sz w:val="24"/>
        </w:rPr>
        <w:t xml:space="preserve"> )/MAX(</w:t>
      </w:r>
      <w:r w:rsidRPr="002C5D87">
        <w:rPr>
          <w:rFonts w:asciiTheme="minorEastAsia" w:eastAsiaTheme="minorEastAsia" w:hAnsiTheme="minorEastAsia" w:hint="eastAsia"/>
          <w:sz w:val="24"/>
        </w:rPr>
        <w:t>∑(各三级评价指标参数×系数))</w:t>
      </w:r>
    </w:p>
    <w:p w:rsidR="002C5D87" w:rsidRPr="002C5D87" w:rsidRDefault="009B607F" w:rsidP="002C5D87">
      <w:pPr>
        <w:autoSpaceDE w:val="0"/>
        <w:autoSpaceDN w:val="0"/>
        <w:adjustRightInd w:val="0"/>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2.</w:t>
      </w:r>
      <w:proofErr w:type="gramStart"/>
      <w:r w:rsidR="002C5D87" w:rsidRPr="002C5D87">
        <w:rPr>
          <w:rFonts w:asciiTheme="minorEastAsia" w:eastAsiaTheme="minorEastAsia" w:hAnsiTheme="minorEastAsia" w:hint="eastAsia"/>
          <w:b/>
          <w:sz w:val="24"/>
        </w:rPr>
        <w:t>一</w:t>
      </w:r>
      <w:proofErr w:type="gramEnd"/>
      <w:r w:rsidR="002C5D87" w:rsidRPr="002C5D87">
        <w:rPr>
          <w:rFonts w:asciiTheme="minorEastAsia" w:eastAsiaTheme="minorEastAsia" w:hAnsiTheme="minorEastAsia" w:hint="eastAsia"/>
          <w:b/>
          <w:sz w:val="24"/>
        </w:rPr>
        <w:t>/二级评价指标得分的计算</w:t>
      </w:r>
    </w:p>
    <w:p w:rsidR="002C5D87" w:rsidRPr="002C5D87" w:rsidRDefault="002C5D87" w:rsidP="002C5D87">
      <w:pPr>
        <w:autoSpaceDE w:val="0"/>
        <w:autoSpaceDN w:val="0"/>
        <w:adjustRightInd w:val="0"/>
        <w:spacing w:line="360" w:lineRule="auto"/>
        <w:ind w:firstLineChars="150" w:firstLine="360"/>
        <w:jc w:val="left"/>
        <w:rPr>
          <w:rFonts w:asciiTheme="minorEastAsia" w:eastAsiaTheme="minorEastAsia" w:hAnsiTheme="minorEastAsia"/>
          <w:sz w:val="24"/>
        </w:rPr>
      </w:pPr>
      <w:r w:rsidRPr="002C5D87">
        <w:rPr>
          <w:rFonts w:asciiTheme="minorEastAsia" w:eastAsiaTheme="minorEastAsia" w:hAnsiTheme="minorEastAsia" w:hint="eastAsia"/>
          <w:sz w:val="24"/>
        </w:rPr>
        <w:t>计算公式：上榜高校的二级评价指标得分</w:t>
      </w:r>
      <w:r w:rsidR="00783805">
        <w:rPr>
          <w:rFonts w:asciiTheme="minorEastAsia" w:eastAsiaTheme="minorEastAsia" w:hAnsiTheme="minorEastAsia" w:hint="eastAsia"/>
          <w:sz w:val="24"/>
        </w:rPr>
        <w:t>=100</w:t>
      </w:r>
      <w:r w:rsidRPr="002C5D87">
        <w:rPr>
          <w:rFonts w:asciiTheme="minorEastAsia" w:eastAsiaTheme="minorEastAsia" w:hAnsiTheme="minorEastAsia" w:hint="eastAsia"/>
          <w:sz w:val="24"/>
        </w:rPr>
        <w:t>×∑(各三级评价指标得分×权重</w:t>
      </w:r>
      <w:r w:rsidR="00783805">
        <w:rPr>
          <w:rFonts w:asciiTheme="minorEastAsia" w:eastAsiaTheme="minorEastAsia" w:hAnsiTheme="minorEastAsia" w:hint="eastAsia"/>
          <w:sz w:val="24"/>
        </w:rPr>
        <w:t>)/MAX(</w:t>
      </w:r>
      <w:r w:rsidRPr="002C5D87">
        <w:rPr>
          <w:rFonts w:asciiTheme="minorEastAsia" w:eastAsiaTheme="minorEastAsia" w:hAnsiTheme="minorEastAsia" w:hint="eastAsia"/>
          <w:sz w:val="24"/>
        </w:rPr>
        <w:t>∑(各三级评价指标得分×权重</w:t>
      </w:r>
      <w:r w:rsidR="00783805">
        <w:rPr>
          <w:rFonts w:asciiTheme="minorEastAsia" w:eastAsiaTheme="minorEastAsia" w:hAnsiTheme="minorEastAsia" w:hint="eastAsia"/>
          <w:sz w:val="24"/>
        </w:rPr>
        <w:t>)</w:t>
      </w:r>
      <w:r w:rsidRPr="002C5D87">
        <w:rPr>
          <w:rFonts w:asciiTheme="minorEastAsia" w:eastAsiaTheme="minorEastAsia" w:hAnsiTheme="minorEastAsia" w:hint="eastAsia"/>
          <w:sz w:val="24"/>
        </w:rPr>
        <w:t>)</w:t>
      </w:r>
    </w:p>
    <w:p w:rsidR="002C5D87" w:rsidRPr="002C5D87" w:rsidRDefault="002C5D87" w:rsidP="002C5D87">
      <w:pPr>
        <w:autoSpaceDE w:val="0"/>
        <w:autoSpaceDN w:val="0"/>
        <w:adjustRightInd w:val="0"/>
        <w:spacing w:line="360" w:lineRule="auto"/>
        <w:ind w:firstLineChars="100" w:firstLine="240"/>
        <w:jc w:val="left"/>
        <w:rPr>
          <w:rFonts w:asciiTheme="minorEastAsia" w:eastAsiaTheme="minorEastAsia" w:hAnsiTheme="minorEastAsia"/>
          <w:sz w:val="24"/>
        </w:rPr>
      </w:pPr>
      <w:r w:rsidRPr="002C5D87">
        <w:rPr>
          <w:rFonts w:asciiTheme="minorEastAsia" w:eastAsiaTheme="minorEastAsia" w:hAnsiTheme="minorEastAsia" w:hint="eastAsia"/>
          <w:sz w:val="24"/>
        </w:rPr>
        <w:t>计算公式：上榜高校的一级评价指标得分</w:t>
      </w:r>
      <w:r w:rsidR="00783805">
        <w:rPr>
          <w:rFonts w:asciiTheme="minorEastAsia" w:eastAsiaTheme="minorEastAsia" w:hAnsiTheme="minorEastAsia" w:hint="eastAsia"/>
          <w:sz w:val="24"/>
        </w:rPr>
        <w:t>= 60+40</w:t>
      </w:r>
      <w:r w:rsidRPr="002C5D87">
        <w:rPr>
          <w:rFonts w:asciiTheme="minorEastAsia" w:eastAsiaTheme="minorEastAsia" w:hAnsiTheme="minorEastAsia" w:hint="eastAsia"/>
          <w:sz w:val="24"/>
        </w:rPr>
        <w:t>×∑各二级评价指标得分</w:t>
      </w:r>
      <w:r w:rsidR="00783805">
        <w:rPr>
          <w:rFonts w:asciiTheme="minorEastAsia" w:eastAsiaTheme="minorEastAsia" w:hAnsiTheme="minorEastAsia" w:hint="eastAsia"/>
          <w:sz w:val="24"/>
        </w:rPr>
        <w:t>/ MAX(</w:t>
      </w:r>
      <w:r w:rsidRPr="002C5D87">
        <w:rPr>
          <w:rFonts w:asciiTheme="minorEastAsia" w:eastAsiaTheme="minorEastAsia" w:hAnsiTheme="minorEastAsia" w:hint="eastAsia"/>
          <w:sz w:val="24"/>
        </w:rPr>
        <w:t>∑各二级评价指标得分 )</w:t>
      </w:r>
    </w:p>
    <w:p w:rsidR="002C5D87" w:rsidRPr="002C5D87" w:rsidRDefault="009B607F" w:rsidP="009B607F">
      <w:pPr>
        <w:autoSpaceDE w:val="0"/>
        <w:autoSpaceDN w:val="0"/>
        <w:adjustRightInd w:val="0"/>
        <w:spacing w:line="360" w:lineRule="auto"/>
        <w:ind w:firstLineChars="150" w:firstLine="361"/>
        <w:jc w:val="left"/>
        <w:rPr>
          <w:rFonts w:asciiTheme="minorEastAsia" w:eastAsiaTheme="minorEastAsia" w:hAnsiTheme="minorEastAsia"/>
          <w:b/>
          <w:sz w:val="24"/>
        </w:rPr>
      </w:pPr>
      <w:r>
        <w:rPr>
          <w:rFonts w:asciiTheme="minorEastAsia" w:eastAsiaTheme="minorEastAsia" w:hAnsiTheme="minorEastAsia" w:hint="eastAsia"/>
          <w:b/>
          <w:sz w:val="24"/>
        </w:rPr>
        <w:t>3.</w:t>
      </w:r>
      <w:r w:rsidR="002C5D87" w:rsidRPr="002C5D87">
        <w:rPr>
          <w:rFonts w:asciiTheme="minorEastAsia" w:eastAsiaTheme="minorEastAsia" w:hAnsiTheme="minorEastAsia" w:hint="eastAsia"/>
          <w:b/>
          <w:sz w:val="24"/>
        </w:rPr>
        <w:t>综合排名得分的计算</w:t>
      </w:r>
    </w:p>
    <w:p w:rsidR="005A65D2" w:rsidRDefault="002C5D87" w:rsidP="00D34DD3">
      <w:pPr>
        <w:autoSpaceDE w:val="0"/>
        <w:autoSpaceDN w:val="0"/>
        <w:adjustRightInd w:val="0"/>
        <w:spacing w:line="360" w:lineRule="auto"/>
        <w:ind w:firstLineChars="150" w:firstLine="360"/>
        <w:jc w:val="left"/>
        <w:rPr>
          <w:rFonts w:asciiTheme="minorEastAsia" w:eastAsiaTheme="minorEastAsia" w:hAnsiTheme="minorEastAsia"/>
          <w:sz w:val="24"/>
        </w:rPr>
      </w:pPr>
      <w:r w:rsidRPr="002C5D87">
        <w:rPr>
          <w:rFonts w:asciiTheme="minorEastAsia" w:eastAsiaTheme="minorEastAsia" w:hAnsiTheme="minorEastAsia" w:hint="eastAsia"/>
          <w:sz w:val="24"/>
        </w:rPr>
        <w:t>计算公式：上榜高校的最终综合排名得分</w:t>
      </w:r>
      <w:r w:rsidR="00783805">
        <w:rPr>
          <w:rFonts w:asciiTheme="minorEastAsia" w:eastAsiaTheme="minorEastAsia" w:hAnsiTheme="minorEastAsia" w:hint="eastAsia"/>
          <w:sz w:val="24"/>
        </w:rPr>
        <w:t>=60+40</w:t>
      </w:r>
      <w:r w:rsidRPr="002C5D87">
        <w:rPr>
          <w:rFonts w:asciiTheme="minorEastAsia" w:eastAsiaTheme="minorEastAsia" w:hAnsiTheme="minorEastAsia" w:hint="eastAsia"/>
          <w:sz w:val="24"/>
        </w:rPr>
        <w:t>×∑</w:t>
      </w:r>
      <w:r w:rsidR="00783805">
        <w:rPr>
          <w:rFonts w:asciiTheme="minorEastAsia" w:eastAsiaTheme="minorEastAsia" w:hAnsiTheme="minorEastAsia" w:hint="eastAsia"/>
          <w:sz w:val="24"/>
        </w:rPr>
        <w:t>(</w:t>
      </w:r>
      <w:r w:rsidRPr="002C5D87">
        <w:rPr>
          <w:rFonts w:asciiTheme="minorEastAsia" w:eastAsiaTheme="minorEastAsia" w:hAnsiTheme="minorEastAsia" w:hint="eastAsia"/>
          <w:sz w:val="24"/>
        </w:rPr>
        <w:t>三级评价指标得分×权重</w:t>
      </w:r>
      <w:r w:rsidR="00783805">
        <w:rPr>
          <w:rFonts w:asciiTheme="minorEastAsia" w:eastAsiaTheme="minorEastAsia" w:hAnsiTheme="minorEastAsia" w:hint="eastAsia"/>
          <w:sz w:val="24"/>
        </w:rPr>
        <w:t>)/MAX(</w:t>
      </w:r>
      <w:r w:rsidRPr="002C5D87">
        <w:rPr>
          <w:rFonts w:asciiTheme="minorEastAsia" w:eastAsiaTheme="minorEastAsia" w:hAnsiTheme="minorEastAsia" w:hint="eastAsia"/>
          <w:sz w:val="24"/>
        </w:rPr>
        <w:t>∑(三级评价指标得分×权重</w:t>
      </w:r>
      <w:r w:rsidR="00783805">
        <w:rPr>
          <w:rFonts w:asciiTheme="minorEastAsia" w:eastAsiaTheme="minorEastAsia" w:hAnsiTheme="minorEastAsia" w:hint="eastAsia"/>
          <w:sz w:val="24"/>
        </w:rPr>
        <w:t>)</w:t>
      </w:r>
      <w:r w:rsidRPr="002C5D87">
        <w:rPr>
          <w:rFonts w:asciiTheme="minorEastAsia" w:eastAsiaTheme="minorEastAsia" w:hAnsiTheme="minorEastAsia" w:hint="eastAsia"/>
          <w:sz w:val="24"/>
        </w:rPr>
        <w:t>)</w:t>
      </w:r>
    </w:p>
    <w:p w:rsidR="00D34DD3" w:rsidRDefault="00AB3CED" w:rsidP="00AB3CED">
      <w:pPr>
        <w:autoSpaceDE w:val="0"/>
        <w:autoSpaceDN w:val="0"/>
        <w:adjustRightInd w:val="0"/>
        <w:spacing w:line="360" w:lineRule="auto"/>
        <w:ind w:left="14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D34DD3" w:rsidRPr="00AB3CED">
        <w:rPr>
          <w:rFonts w:asciiTheme="minorEastAsia" w:eastAsiaTheme="minorEastAsia" w:hAnsiTheme="minorEastAsia" w:hint="eastAsia"/>
          <w:b/>
          <w:sz w:val="28"/>
          <w:szCs w:val="28"/>
        </w:rPr>
        <w:t>我校</w:t>
      </w:r>
      <w:r w:rsidR="008F36C8" w:rsidRPr="00AB3CED">
        <w:rPr>
          <w:rFonts w:asciiTheme="minorEastAsia" w:eastAsiaTheme="minorEastAsia" w:hAnsiTheme="minorEastAsia" w:hint="eastAsia"/>
          <w:b/>
          <w:sz w:val="28"/>
          <w:szCs w:val="28"/>
        </w:rPr>
        <w:t>在</w:t>
      </w:r>
      <w:r>
        <w:rPr>
          <w:rFonts w:asciiTheme="minorEastAsia" w:eastAsiaTheme="minorEastAsia" w:hAnsiTheme="minorEastAsia" w:hint="eastAsia"/>
          <w:b/>
          <w:sz w:val="28"/>
          <w:szCs w:val="28"/>
        </w:rPr>
        <w:t>校友会</w:t>
      </w:r>
      <w:r w:rsidR="00D34DD3" w:rsidRPr="00AB3CED">
        <w:rPr>
          <w:rFonts w:asciiTheme="minorEastAsia" w:eastAsiaTheme="minorEastAsia" w:hAnsiTheme="minorEastAsia" w:hint="eastAsia"/>
          <w:b/>
          <w:sz w:val="28"/>
          <w:szCs w:val="28"/>
        </w:rPr>
        <w:t>大学</w:t>
      </w:r>
      <w:r w:rsidR="008F36C8" w:rsidRPr="00AB3CED">
        <w:rPr>
          <w:rFonts w:asciiTheme="minorEastAsia" w:eastAsiaTheme="minorEastAsia" w:hAnsiTheme="minorEastAsia" w:hint="eastAsia"/>
          <w:b/>
          <w:sz w:val="28"/>
          <w:szCs w:val="28"/>
        </w:rPr>
        <w:t>排行榜的</w:t>
      </w:r>
      <w:r w:rsidR="00D34DD3" w:rsidRPr="00AB3CED">
        <w:rPr>
          <w:rFonts w:asciiTheme="minorEastAsia" w:eastAsiaTheme="minorEastAsia" w:hAnsiTheme="minorEastAsia" w:hint="eastAsia"/>
          <w:b/>
          <w:sz w:val="28"/>
          <w:szCs w:val="28"/>
        </w:rPr>
        <w:t>排</w:t>
      </w:r>
      <w:r w:rsidR="008F36C8" w:rsidRPr="00AB3CED">
        <w:rPr>
          <w:rFonts w:asciiTheme="minorEastAsia" w:eastAsiaTheme="minorEastAsia" w:hAnsiTheme="minorEastAsia" w:hint="eastAsia"/>
          <w:b/>
          <w:sz w:val="28"/>
          <w:szCs w:val="28"/>
        </w:rPr>
        <w:t>名情况</w:t>
      </w:r>
    </w:p>
    <w:p w:rsidR="00D33004" w:rsidRDefault="00523F22" w:rsidP="00E21A14">
      <w:pPr>
        <w:spacing w:line="500" w:lineRule="exact"/>
        <w:ind w:firstLineChars="50" w:firstLine="141"/>
        <w:rPr>
          <w:rFonts w:ascii="仿宋_GB2312" w:eastAsia="仿宋_GB2312" w:hAnsi="宋体"/>
          <w:b/>
          <w:sz w:val="28"/>
          <w:szCs w:val="28"/>
        </w:rPr>
      </w:pPr>
      <w:r>
        <w:rPr>
          <w:rFonts w:ascii="仿宋_GB2312" w:eastAsia="仿宋_GB2312" w:hAnsi="宋体" w:hint="eastAsia"/>
          <w:b/>
          <w:sz w:val="28"/>
          <w:szCs w:val="28"/>
        </w:rPr>
        <w:t>三</w:t>
      </w:r>
      <w:r w:rsidR="00D33004" w:rsidRPr="002D6013">
        <w:rPr>
          <w:rFonts w:ascii="仿宋_GB2312" w:eastAsia="仿宋_GB2312" w:hAnsi="宋体" w:hint="eastAsia"/>
          <w:b/>
          <w:sz w:val="28"/>
          <w:szCs w:val="28"/>
        </w:rPr>
        <w:t>、</w:t>
      </w:r>
      <w:r w:rsidR="002D6013">
        <w:rPr>
          <w:rFonts w:ascii="仿宋_GB2312" w:eastAsia="仿宋_GB2312" w:hAnsi="宋体" w:hint="eastAsia"/>
          <w:b/>
          <w:sz w:val="28"/>
          <w:szCs w:val="28"/>
        </w:rPr>
        <w:t>我校</w:t>
      </w:r>
      <w:r w:rsidR="00F70755">
        <w:rPr>
          <w:rFonts w:ascii="仿宋_GB2312" w:eastAsia="仿宋_GB2312" w:hAnsi="宋体" w:hint="eastAsia"/>
          <w:b/>
          <w:sz w:val="28"/>
          <w:szCs w:val="28"/>
        </w:rPr>
        <w:t>在校友会排行榜</w:t>
      </w:r>
      <w:r w:rsidR="002D6013">
        <w:rPr>
          <w:rFonts w:ascii="仿宋_GB2312" w:eastAsia="仿宋_GB2312" w:hAnsi="宋体" w:hint="eastAsia"/>
          <w:b/>
          <w:sz w:val="28"/>
          <w:szCs w:val="28"/>
        </w:rPr>
        <w:t>排名下降的原因分析</w:t>
      </w:r>
    </w:p>
    <w:p w:rsidR="004862FA" w:rsidRDefault="001A5A2E" w:rsidP="00E21A14">
      <w:pPr>
        <w:spacing w:line="500" w:lineRule="exact"/>
        <w:ind w:firstLineChars="50" w:firstLine="120"/>
        <w:rPr>
          <w:rFonts w:asciiTheme="majorEastAsia" w:eastAsiaTheme="majorEastAsia" w:hAnsiTheme="majorEastAsia" w:hint="eastAsia"/>
          <w:b/>
          <w:sz w:val="24"/>
        </w:rPr>
      </w:pPr>
      <w:r w:rsidRPr="001A5A2E">
        <w:rPr>
          <w:rFonts w:asciiTheme="majorEastAsia" w:eastAsiaTheme="majorEastAsia" w:hAnsiTheme="majorEastAsia" w:hint="eastAsia"/>
          <w:b/>
          <w:sz w:val="24"/>
        </w:rPr>
        <w:t>四、我校提升</w:t>
      </w:r>
      <w:r w:rsidR="007D5F57">
        <w:rPr>
          <w:rFonts w:asciiTheme="majorEastAsia" w:eastAsiaTheme="majorEastAsia" w:hAnsiTheme="majorEastAsia" w:hint="eastAsia"/>
          <w:b/>
          <w:sz w:val="24"/>
        </w:rPr>
        <w:t>排名</w:t>
      </w:r>
      <w:r>
        <w:rPr>
          <w:rFonts w:asciiTheme="majorEastAsia" w:eastAsiaTheme="majorEastAsia" w:hAnsiTheme="majorEastAsia" w:hint="eastAsia"/>
          <w:b/>
          <w:sz w:val="24"/>
        </w:rPr>
        <w:t>的</w:t>
      </w:r>
      <w:r w:rsidR="007D5F57">
        <w:rPr>
          <w:rFonts w:asciiTheme="majorEastAsia" w:eastAsiaTheme="majorEastAsia" w:hAnsiTheme="majorEastAsia" w:hint="eastAsia"/>
          <w:b/>
          <w:sz w:val="24"/>
        </w:rPr>
        <w:t>路径探析</w:t>
      </w:r>
    </w:p>
    <w:p w:rsidR="00E21A14" w:rsidRDefault="00E21A14" w:rsidP="00E21A14">
      <w:pPr>
        <w:spacing w:line="500" w:lineRule="exact"/>
        <w:ind w:firstLineChars="50" w:firstLine="120"/>
        <w:rPr>
          <w:rFonts w:asciiTheme="majorEastAsia" w:eastAsiaTheme="majorEastAsia" w:hAnsiTheme="majorEastAsia" w:hint="eastAsia"/>
          <w:b/>
          <w:sz w:val="24"/>
        </w:rPr>
      </w:pPr>
    </w:p>
    <w:p w:rsidR="00E21A14" w:rsidRDefault="00E21A14" w:rsidP="00E21A14">
      <w:pPr>
        <w:spacing w:line="500" w:lineRule="exact"/>
        <w:ind w:firstLineChars="50" w:firstLine="120"/>
        <w:rPr>
          <w:rFonts w:ascii="仿宋" w:eastAsia="仿宋" w:hAnsi="仿宋" w:hint="eastAsia"/>
          <w:sz w:val="24"/>
        </w:rPr>
      </w:pPr>
      <w:r w:rsidRPr="00E21A14">
        <w:rPr>
          <w:rFonts w:ascii="仿宋" w:eastAsia="仿宋" w:hAnsi="仿宋" w:hint="eastAsia"/>
          <w:sz w:val="24"/>
        </w:rPr>
        <w:t>如需详细内容请联系作者</w:t>
      </w:r>
    </w:p>
    <w:p w:rsidR="00E21A14" w:rsidRPr="00E21A14" w:rsidRDefault="00E21A14" w:rsidP="00E21A14">
      <w:pPr>
        <w:spacing w:line="500" w:lineRule="exact"/>
        <w:ind w:firstLineChars="50" w:firstLine="120"/>
        <w:rPr>
          <w:rFonts w:ascii="仿宋" w:eastAsia="仿宋" w:hAnsi="仿宋" w:hint="eastAsia"/>
          <w:sz w:val="24"/>
        </w:rPr>
      </w:pPr>
      <w:r>
        <w:rPr>
          <w:rFonts w:ascii="仿宋" w:eastAsia="仿宋" w:hAnsi="仿宋" w:hint="eastAsia"/>
          <w:sz w:val="24"/>
        </w:rPr>
        <w:t xml:space="preserve">     房保俊：0531-89631620    fbj@qlu.edu.cn</w:t>
      </w:r>
      <w:bookmarkStart w:id="6" w:name="_GoBack"/>
      <w:bookmarkEnd w:id="6"/>
    </w:p>
    <w:p w:rsidR="00E21A14" w:rsidRDefault="00E21A14" w:rsidP="00E21A14">
      <w:pPr>
        <w:spacing w:line="500" w:lineRule="exact"/>
        <w:ind w:firstLineChars="50" w:firstLine="120"/>
        <w:rPr>
          <w:rFonts w:asciiTheme="majorEastAsia" w:eastAsiaTheme="majorEastAsia" w:hAnsiTheme="majorEastAsia" w:hint="eastAsia"/>
          <w:b/>
          <w:sz w:val="24"/>
        </w:rPr>
      </w:pPr>
    </w:p>
    <w:p w:rsidR="00E21A14" w:rsidRDefault="00E21A14" w:rsidP="00E21A14">
      <w:pPr>
        <w:spacing w:line="500" w:lineRule="exact"/>
        <w:ind w:firstLineChars="50" w:firstLine="120"/>
        <w:rPr>
          <w:rFonts w:asciiTheme="majorEastAsia" w:eastAsiaTheme="majorEastAsia" w:hAnsiTheme="majorEastAsia" w:hint="eastAsia"/>
          <w:b/>
          <w:sz w:val="24"/>
        </w:rPr>
      </w:pPr>
    </w:p>
    <w:p w:rsidR="00E21A14" w:rsidRPr="001A5A2E" w:rsidRDefault="00E21A14" w:rsidP="00E21A14">
      <w:pPr>
        <w:spacing w:line="500" w:lineRule="exact"/>
        <w:ind w:firstLineChars="50" w:firstLine="120"/>
        <w:rPr>
          <w:rFonts w:asciiTheme="majorEastAsia" w:eastAsiaTheme="majorEastAsia" w:hAnsiTheme="majorEastAsia"/>
          <w:b/>
          <w:sz w:val="24"/>
        </w:rPr>
      </w:pPr>
    </w:p>
    <w:sectPr w:rsidR="00E21A14" w:rsidRPr="001A5A2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20" w:rsidRDefault="00FE4920" w:rsidP="009F1492">
      <w:r>
        <w:separator/>
      </w:r>
    </w:p>
  </w:endnote>
  <w:endnote w:type="continuationSeparator" w:id="0">
    <w:p w:rsidR="00FE4920" w:rsidRDefault="00FE4920" w:rsidP="009F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22850"/>
      <w:docPartObj>
        <w:docPartGallery w:val="Page Numbers (Bottom of Page)"/>
        <w:docPartUnique/>
      </w:docPartObj>
    </w:sdtPr>
    <w:sdtEndPr/>
    <w:sdtContent>
      <w:p w:rsidR="00866381" w:rsidRDefault="00866381">
        <w:pPr>
          <w:pStyle w:val="a6"/>
          <w:jc w:val="center"/>
        </w:pPr>
        <w:r>
          <w:fldChar w:fldCharType="begin"/>
        </w:r>
        <w:r>
          <w:instrText>PAGE   \* MERGEFORMAT</w:instrText>
        </w:r>
        <w:r>
          <w:fldChar w:fldCharType="separate"/>
        </w:r>
        <w:r w:rsidR="00E21A14" w:rsidRPr="00E21A14">
          <w:rPr>
            <w:noProof/>
            <w:lang w:val="zh-CN"/>
          </w:rPr>
          <w:t>8</w:t>
        </w:r>
        <w:r>
          <w:fldChar w:fldCharType="end"/>
        </w:r>
      </w:p>
    </w:sdtContent>
  </w:sdt>
  <w:p w:rsidR="00866381" w:rsidRDefault="008663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20" w:rsidRDefault="00FE4920" w:rsidP="009F1492">
      <w:r>
        <w:separator/>
      </w:r>
    </w:p>
  </w:footnote>
  <w:footnote w:type="continuationSeparator" w:id="0">
    <w:p w:rsidR="00FE4920" w:rsidRDefault="00FE4920" w:rsidP="009F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C5"/>
    <w:multiLevelType w:val="hybridMultilevel"/>
    <w:tmpl w:val="F732BA64"/>
    <w:lvl w:ilvl="0" w:tplc="5F3880B4">
      <w:start w:val="1"/>
      <w:numFmt w:val="decimal"/>
      <w:lvlText w:val="%1."/>
      <w:lvlJc w:val="left"/>
      <w:pPr>
        <w:ind w:left="721" w:hanging="36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
    <w:nsid w:val="075B6D19"/>
    <w:multiLevelType w:val="hybridMultilevel"/>
    <w:tmpl w:val="FE580350"/>
    <w:lvl w:ilvl="0" w:tplc="96CEFEC2">
      <w:start w:val="1"/>
      <w:numFmt w:val="decimal"/>
      <w:lvlText w:val="%1."/>
      <w:lvlJc w:val="left"/>
      <w:pPr>
        <w:ind w:left="840" w:hanging="360"/>
      </w:pPr>
      <w:rPr>
        <w:rFonts w:asciiTheme="minorEastAsia" w:eastAsiaTheme="minorEastAsia" w:hAnsiTheme="minorEastAsia" w:hint="default"/>
        <w:b w:val="0"/>
        <w:color w:val="auto"/>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C7A5311"/>
    <w:multiLevelType w:val="hybridMultilevel"/>
    <w:tmpl w:val="2A42AA2A"/>
    <w:lvl w:ilvl="0" w:tplc="E3DAB108">
      <w:start w:val="1"/>
      <w:numFmt w:val="japaneseCounting"/>
      <w:lvlText w:val="（%1）"/>
      <w:lvlJc w:val="left"/>
      <w:pPr>
        <w:ind w:left="1476" w:hanging="756"/>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AA729FB"/>
    <w:multiLevelType w:val="hybridMultilevel"/>
    <w:tmpl w:val="80F83FF0"/>
    <w:lvl w:ilvl="0" w:tplc="650E2D5C">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1AB13A99"/>
    <w:multiLevelType w:val="hybridMultilevel"/>
    <w:tmpl w:val="D2FC9494"/>
    <w:lvl w:ilvl="0" w:tplc="26F294D2">
      <w:start w:val="4"/>
      <w:numFmt w:val="japaneseCounting"/>
      <w:lvlText w:val="（%1）"/>
      <w:lvlJc w:val="left"/>
      <w:pPr>
        <w:ind w:left="1182" w:hanging="756"/>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238569A5"/>
    <w:multiLevelType w:val="hybridMultilevel"/>
    <w:tmpl w:val="9B886164"/>
    <w:lvl w:ilvl="0" w:tplc="350EE3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871C68"/>
    <w:multiLevelType w:val="hybridMultilevel"/>
    <w:tmpl w:val="780E1A48"/>
    <w:lvl w:ilvl="0" w:tplc="C5F83A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3E0D0A"/>
    <w:multiLevelType w:val="hybridMultilevel"/>
    <w:tmpl w:val="09CAF7C8"/>
    <w:lvl w:ilvl="0" w:tplc="2B642656">
      <w:start w:val="2"/>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031A27"/>
    <w:multiLevelType w:val="hybridMultilevel"/>
    <w:tmpl w:val="8DBE2830"/>
    <w:lvl w:ilvl="0" w:tplc="27CE63A0">
      <w:start w:val="2"/>
      <w:numFmt w:val="japaneseCounting"/>
      <w:lvlText w:val="（%1）"/>
      <w:lvlJc w:val="left"/>
      <w:pPr>
        <w:ind w:left="1465" w:hanging="756"/>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2DD20352"/>
    <w:multiLevelType w:val="hybridMultilevel"/>
    <w:tmpl w:val="93048326"/>
    <w:lvl w:ilvl="0" w:tplc="A4D85F9E">
      <w:start w:val="5"/>
      <w:numFmt w:val="japaneseCounting"/>
      <w:lvlText w:val="（%1）"/>
      <w:lvlJc w:val="left"/>
      <w:pPr>
        <w:ind w:left="1182" w:hanging="756"/>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365776D6"/>
    <w:multiLevelType w:val="hybridMultilevel"/>
    <w:tmpl w:val="EE3C02AC"/>
    <w:lvl w:ilvl="0" w:tplc="EEF4C966">
      <w:start w:val="5"/>
      <w:numFmt w:val="japaneseCounting"/>
      <w:lvlText w:val="（%1）"/>
      <w:lvlJc w:val="left"/>
      <w:pPr>
        <w:ind w:left="1476" w:hanging="756"/>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37DF1776"/>
    <w:multiLevelType w:val="hybridMultilevel"/>
    <w:tmpl w:val="0136ECE8"/>
    <w:lvl w:ilvl="0" w:tplc="1F98631E">
      <w:start w:val="1"/>
      <w:numFmt w:val="japaneseCounting"/>
      <w:lvlText w:val="（%1）"/>
      <w:lvlJc w:val="left"/>
      <w:pPr>
        <w:ind w:left="1117" w:hanging="756"/>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2">
    <w:nsid w:val="4B39142B"/>
    <w:multiLevelType w:val="hybridMultilevel"/>
    <w:tmpl w:val="C0061644"/>
    <w:lvl w:ilvl="0" w:tplc="EE1661A0">
      <w:start w:val="1"/>
      <w:numFmt w:val="decimal"/>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13">
    <w:nsid w:val="4EEE3801"/>
    <w:multiLevelType w:val="hybridMultilevel"/>
    <w:tmpl w:val="E3E67D30"/>
    <w:lvl w:ilvl="0" w:tplc="AC9EA566">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523A3963"/>
    <w:multiLevelType w:val="hybridMultilevel"/>
    <w:tmpl w:val="BFD01934"/>
    <w:lvl w:ilvl="0" w:tplc="D264EC9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62715BB3"/>
    <w:multiLevelType w:val="hybridMultilevel"/>
    <w:tmpl w:val="F386F0C0"/>
    <w:lvl w:ilvl="0" w:tplc="8A48871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240A35"/>
    <w:multiLevelType w:val="hybridMultilevel"/>
    <w:tmpl w:val="7592CE32"/>
    <w:lvl w:ilvl="0" w:tplc="3A8C9FD6">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1"/>
  </w:num>
  <w:num w:numId="3">
    <w:abstractNumId w:val="15"/>
  </w:num>
  <w:num w:numId="4">
    <w:abstractNumId w:val="16"/>
  </w:num>
  <w:num w:numId="5">
    <w:abstractNumId w:val="13"/>
  </w:num>
  <w:num w:numId="6">
    <w:abstractNumId w:val="5"/>
  </w:num>
  <w:num w:numId="7">
    <w:abstractNumId w:val="7"/>
  </w:num>
  <w:num w:numId="8">
    <w:abstractNumId w:val="8"/>
  </w:num>
  <w:num w:numId="9">
    <w:abstractNumId w:val="10"/>
  </w:num>
  <w:num w:numId="10">
    <w:abstractNumId w:val="9"/>
  </w:num>
  <w:num w:numId="11">
    <w:abstractNumId w:val="4"/>
  </w:num>
  <w:num w:numId="12">
    <w:abstractNumId w:val="3"/>
  </w:num>
  <w:num w:numId="13">
    <w:abstractNumId w:val="11"/>
  </w:num>
  <w:num w:numId="14">
    <w:abstractNumId w:val="12"/>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F7"/>
    <w:rsid w:val="0002382D"/>
    <w:rsid w:val="000405F0"/>
    <w:rsid w:val="0004119F"/>
    <w:rsid w:val="00044EA1"/>
    <w:rsid w:val="000503CC"/>
    <w:rsid w:val="000503E1"/>
    <w:rsid w:val="00050546"/>
    <w:rsid w:val="0005606F"/>
    <w:rsid w:val="000578CA"/>
    <w:rsid w:val="000640F9"/>
    <w:rsid w:val="00066D47"/>
    <w:rsid w:val="000700F2"/>
    <w:rsid w:val="00071E63"/>
    <w:rsid w:val="00081272"/>
    <w:rsid w:val="0008506E"/>
    <w:rsid w:val="000913C4"/>
    <w:rsid w:val="000951DE"/>
    <w:rsid w:val="000966D8"/>
    <w:rsid w:val="000B4527"/>
    <w:rsid w:val="000B5DCB"/>
    <w:rsid w:val="000C010A"/>
    <w:rsid w:val="000C321F"/>
    <w:rsid w:val="000C45B2"/>
    <w:rsid w:val="000C57AC"/>
    <w:rsid w:val="000D0BB7"/>
    <w:rsid w:val="000E3D0B"/>
    <w:rsid w:val="000E762B"/>
    <w:rsid w:val="000F1373"/>
    <w:rsid w:val="000F26D0"/>
    <w:rsid w:val="000F2F83"/>
    <w:rsid w:val="001002A3"/>
    <w:rsid w:val="00100993"/>
    <w:rsid w:val="001060FA"/>
    <w:rsid w:val="00113598"/>
    <w:rsid w:val="00116082"/>
    <w:rsid w:val="00121428"/>
    <w:rsid w:val="00131374"/>
    <w:rsid w:val="001400D4"/>
    <w:rsid w:val="00143C91"/>
    <w:rsid w:val="00146849"/>
    <w:rsid w:val="001509CB"/>
    <w:rsid w:val="00156239"/>
    <w:rsid w:val="0018144C"/>
    <w:rsid w:val="001A19C4"/>
    <w:rsid w:val="001A5A2E"/>
    <w:rsid w:val="001B494E"/>
    <w:rsid w:val="001C003C"/>
    <w:rsid w:val="001D16F6"/>
    <w:rsid w:val="001D3D51"/>
    <w:rsid w:val="001F6F2F"/>
    <w:rsid w:val="00201013"/>
    <w:rsid w:val="002050FF"/>
    <w:rsid w:val="00207A95"/>
    <w:rsid w:val="00214B0D"/>
    <w:rsid w:val="00222E06"/>
    <w:rsid w:val="00223C16"/>
    <w:rsid w:val="00237863"/>
    <w:rsid w:val="00244001"/>
    <w:rsid w:val="0025165F"/>
    <w:rsid w:val="00257657"/>
    <w:rsid w:val="00261C8D"/>
    <w:rsid w:val="00274BC6"/>
    <w:rsid w:val="00275C03"/>
    <w:rsid w:val="0027719F"/>
    <w:rsid w:val="00281FBF"/>
    <w:rsid w:val="00282B49"/>
    <w:rsid w:val="00283AED"/>
    <w:rsid w:val="002907F1"/>
    <w:rsid w:val="002913BE"/>
    <w:rsid w:val="00296B0C"/>
    <w:rsid w:val="002A2462"/>
    <w:rsid w:val="002B32F6"/>
    <w:rsid w:val="002B3704"/>
    <w:rsid w:val="002B572F"/>
    <w:rsid w:val="002C2B2C"/>
    <w:rsid w:val="002C5D87"/>
    <w:rsid w:val="002C7379"/>
    <w:rsid w:val="002D6013"/>
    <w:rsid w:val="002D71D4"/>
    <w:rsid w:val="002E2FAA"/>
    <w:rsid w:val="002F61FB"/>
    <w:rsid w:val="002F6861"/>
    <w:rsid w:val="003211EE"/>
    <w:rsid w:val="0033609B"/>
    <w:rsid w:val="0034705F"/>
    <w:rsid w:val="0035147A"/>
    <w:rsid w:val="00356CB9"/>
    <w:rsid w:val="00364020"/>
    <w:rsid w:val="00381ED3"/>
    <w:rsid w:val="00382C86"/>
    <w:rsid w:val="00386B01"/>
    <w:rsid w:val="00387F3D"/>
    <w:rsid w:val="00390C49"/>
    <w:rsid w:val="00396ACB"/>
    <w:rsid w:val="003B29D4"/>
    <w:rsid w:val="003C7FC6"/>
    <w:rsid w:val="003D05AD"/>
    <w:rsid w:val="003D5B86"/>
    <w:rsid w:val="003E5E28"/>
    <w:rsid w:val="003F0710"/>
    <w:rsid w:val="003F67D7"/>
    <w:rsid w:val="004007F5"/>
    <w:rsid w:val="00400B6A"/>
    <w:rsid w:val="00403376"/>
    <w:rsid w:val="00403F84"/>
    <w:rsid w:val="00410C73"/>
    <w:rsid w:val="0041479C"/>
    <w:rsid w:val="004223B2"/>
    <w:rsid w:val="00422904"/>
    <w:rsid w:val="00433AA5"/>
    <w:rsid w:val="00433EB6"/>
    <w:rsid w:val="00436CB4"/>
    <w:rsid w:val="00441610"/>
    <w:rsid w:val="00442326"/>
    <w:rsid w:val="00453AA2"/>
    <w:rsid w:val="0045486F"/>
    <w:rsid w:val="00465922"/>
    <w:rsid w:val="00472D6C"/>
    <w:rsid w:val="004862FA"/>
    <w:rsid w:val="00493846"/>
    <w:rsid w:val="00494D40"/>
    <w:rsid w:val="00496034"/>
    <w:rsid w:val="004A055E"/>
    <w:rsid w:val="004A7E58"/>
    <w:rsid w:val="004C097C"/>
    <w:rsid w:val="004D3684"/>
    <w:rsid w:val="004F4F58"/>
    <w:rsid w:val="00512612"/>
    <w:rsid w:val="00523F22"/>
    <w:rsid w:val="00530F49"/>
    <w:rsid w:val="0054259E"/>
    <w:rsid w:val="005455D9"/>
    <w:rsid w:val="00563DED"/>
    <w:rsid w:val="00564AC0"/>
    <w:rsid w:val="00565E43"/>
    <w:rsid w:val="005669BC"/>
    <w:rsid w:val="005707B9"/>
    <w:rsid w:val="00574AEF"/>
    <w:rsid w:val="00576C89"/>
    <w:rsid w:val="005A4F5D"/>
    <w:rsid w:val="005A65D2"/>
    <w:rsid w:val="005B111F"/>
    <w:rsid w:val="005B6748"/>
    <w:rsid w:val="005C59A7"/>
    <w:rsid w:val="005D2685"/>
    <w:rsid w:val="005F6F5A"/>
    <w:rsid w:val="0060151B"/>
    <w:rsid w:val="00614D4F"/>
    <w:rsid w:val="006203EA"/>
    <w:rsid w:val="00637743"/>
    <w:rsid w:val="0063795E"/>
    <w:rsid w:val="006650A4"/>
    <w:rsid w:val="006812E1"/>
    <w:rsid w:val="00697205"/>
    <w:rsid w:val="006A3619"/>
    <w:rsid w:val="006B4827"/>
    <w:rsid w:val="006C0336"/>
    <w:rsid w:val="006E40E3"/>
    <w:rsid w:val="006E6AF0"/>
    <w:rsid w:val="006E7831"/>
    <w:rsid w:val="006E79B2"/>
    <w:rsid w:val="006F5F3A"/>
    <w:rsid w:val="0071109D"/>
    <w:rsid w:val="00712E19"/>
    <w:rsid w:val="007254AF"/>
    <w:rsid w:val="00733D74"/>
    <w:rsid w:val="007605BE"/>
    <w:rsid w:val="00763071"/>
    <w:rsid w:val="00781A25"/>
    <w:rsid w:val="0078303F"/>
    <w:rsid w:val="00783805"/>
    <w:rsid w:val="00783EEA"/>
    <w:rsid w:val="00796EE8"/>
    <w:rsid w:val="007A1342"/>
    <w:rsid w:val="007A5E71"/>
    <w:rsid w:val="007B5CA2"/>
    <w:rsid w:val="007C2EC4"/>
    <w:rsid w:val="007D0318"/>
    <w:rsid w:val="007D4021"/>
    <w:rsid w:val="007D5F57"/>
    <w:rsid w:val="007D6833"/>
    <w:rsid w:val="007D6D56"/>
    <w:rsid w:val="007E2DDD"/>
    <w:rsid w:val="007E5CC4"/>
    <w:rsid w:val="007F6755"/>
    <w:rsid w:val="007F784A"/>
    <w:rsid w:val="00822821"/>
    <w:rsid w:val="00830CC6"/>
    <w:rsid w:val="00833E93"/>
    <w:rsid w:val="00834C89"/>
    <w:rsid w:val="00835101"/>
    <w:rsid w:val="00836644"/>
    <w:rsid w:val="008413AB"/>
    <w:rsid w:val="008518D7"/>
    <w:rsid w:val="00852260"/>
    <w:rsid w:val="00863A99"/>
    <w:rsid w:val="00866381"/>
    <w:rsid w:val="00872FFF"/>
    <w:rsid w:val="0087717C"/>
    <w:rsid w:val="00883065"/>
    <w:rsid w:val="00891340"/>
    <w:rsid w:val="00896F75"/>
    <w:rsid w:val="008A741B"/>
    <w:rsid w:val="008B0508"/>
    <w:rsid w:val="008B3E2B"/>
    <w:rsid w:val="008B4452"/>
    <w:rsid w:val="008B6482"/>
    <w:rsid w:val="008C102E"/>
    <w:rsid w:val="008C707A"/>
    <w:rsid w:val="008D465E"/>
    <w:rsid w:val="008D7957"/>
    <w:rsid w:val="008E08FF"/>
    <w:rsid w:val="008E566F"/>
    <w:rsid w:val="008F36C8"/>
    <w:rsid w:val="008F64E4"/>
    <w:rsid w:val="009074DA"/>
    <w:rsid w:val="00942F2C"/>
    <w:rsid w:val="00944368"/>
    <w:rsid w:val="00947BC3"/>
    <w:rsid w:val="00953F89"/>
    <w:rsid w:val="0095488A"/>
    <w:rsid w:val="00956D59"/>
    <w:rsid w:val="00957CD3"/>
    <w:rsid w:val="00963E6A"/>
    <w:rsid w:val="00964ABB"/>
    <w:rsid w:val="00970E80"/>
    <w:rsid w:val="00971A98"/>
    <w:rsid w:val="009835FB"/>
    <w:rsid w:val="0098785C"/>
    <w:rsid w:val="009901CF"/>
    <w:rsid w:val="009A0A2F"/>
    <w:rsid w:val="009A0E36"/>
    <w:rsid w:val="009A2F94"/>
    <w:rsid w:val="009A4059"/>
    <w:rsid w:val="009A6BA1"/>
    <w:rsid w:val="009B607F"/>
    <w:rsid w:val="009C3EF7"/>
    <w:rsid w:val="009D3E70"/>
    <w:rsid w:val="009D5905"/>
    <w:rsid w:val="009F1492"/>
    <w:rsid w:val="009F4BF5"/>
    <w:rsid w:val="009F76FB"/>
    <w:rsid w:val="00A056FA"/>
    <w:rsid w:val="00A12422"/>
    <w:rsid w:val="00A63A8B"/>
    <w:rsid w:val="00A7294B"/>
    <w:rsid w:val="00A729DA"/>
    <w:rsid w:val="00A7746A"/>
    <w:rsid w:val="00A809A2"/>
    <w:rsid w:val="00A80BB2"/>
    <w:rsid w:val="00A9411A"/>
    <w:rsid w:val="00A96DC8"/>
    <w:rsid w:val="00AA7A10"/>
    <w:rsid w:val="00AB3CED"/>
    <w:rsid w:val="00AB7E48"/>
    <w:rsid w:val="00AC1347"/>
    <w:rsid w:val="00AC6410"/>
    <w:rsid w:val="00AF7BC4"/>
    <w:rsid w:val="00B036F7"/>
    <w:rsid w:val="00B11B0B"/>
    <w:rsid w:val="00B2005A"/>
    <w:rsid w:val="00B20AA7"/>
    <w:rsid w:val="00B23BBD"/>
    <w:rsid w:val="00B357CE"/>
    <w:rsid w:val="00B36E78"/>
    <w:rsid w:val="00B4518D"/>
    <w:rsid w:val="00B46296"/>
    <w:rsid w:val="00B47CF3"/>
    <w:rsid w:val="00B537F8"/>
    <w:rsid w:val="00B56F1F"/>
    <w:rsid w:val="00B63212"/>
    <w:rsid w:val="00B64B2E"/>
    <w:rsid w:val="00B702FE"/>
    <w:rsid w:val="00B8058D"/>
    <w:rsid w:val="00B8076B"/>
    <w:rsid w:val="00B83265"/>
    <w:rsid w:val="00B84A46"/>
    <w:rsid w:val="00B863D9"/>
    <w:rsid w:val="00B93411"/>
    <w:rsid w:val="00BA4D4C"/>
    <w:rsid w:val="00BB53FF"/>
    <w:rsid w:val="00BC3C5F"/>
    <w:rsid w:val="00BC61F0"/>
    <w:rsid w:val="00BC794A"/>
    <w:rsid w:val="00BD17C9"/>
    <w:rsid w:val="00BF7E18"/>
    <w:rsid w:val="00C012EC"/>
    <w:rsid w:val="00C025C2"/>
    <w:rsid w:val="00C05A11"/>
    <w:rsid w:val="00C24591"/>
    <w:rsid w:val="00C30D80"/>
    <w:rsid w:val="00C33AD0"/>
    <w:rsid w:val="00C40911"/>
    <w:rsid w:val="00C53DB8"/>
    <w:rsid w:val="00C80357"/>
    <w:rsid w:val="00C80BF3"/>
    <w:rsid w:val="00C81740"/>
    <w:rsid w:val="00C85ED7"/>
    <w:rsid w:val="00CA23F4"/>
    <w:rsid w:val="00CB1943"/>
    <w:rsid w:val="00CB596F"/>
    <w:rsid w:val="00CB5A03"/>
    <w:rsid w:val="00CC4B30"/>
    <w:rsid w:val="00CC58E9"/>
    <w:rsid w:val="00CD60D7"/>
    <w:rsid w:val="00CD6321"/>
    <w:rsid w:val="00CD70F0"/>
    <w:rsid w:val="00CE7A07"/>
    <w:rsid w:val="00CF0668"/>
    <w:rsid w:val="00D05870"/>
    <w:rsid w:val="00D07B10"/>
    <w:rsid w:val="00D14789"/>
    <w:rsid w:val="00D1482C"/>
    <w:rsid w:val="00D17FE1"/>
    <w:rsid w:val="00D33004"/>
    <w:rsid w:val="00D34DD3"/>
    <w:rsid w:val="00D36FB7"/>
    <w:rsid w:val="00D4292B"/>
    <w:rsid w:val="00D430A5"/>
    <w:rsid w:val="00D825B2"/>
    <w:rsid w:val="00D83985"/>
    <w:rsid w:val="00D8665A"/>
    <w:rsid w:val="00D9733E"/>
    <w:rsid w:val="00D97C24"/>
    <w:rsid w:val="00DA1923"/>
    <w:rsid w:val="00DA4B89"/>
    <w:rsid w:val="00DB6675"/>
    <w:rsid w:val="00DD40CE"/>
    <w:rsid w:val="00DE3A7B"/>
    <w:rsid w:val="00DE4A5F"/>
    <w:rsid w:val="00DF25EB"/>
    <w:rsid w:val="00E048A5"/>
    <w:rsid w:val="00E1292C"/>
    <w:rsid w:val="00E21A14"/>
    <w:rsid w:val="00E22651"/>
    <w:rsid w:val="00E26AF8"/>
    <w:rsid w:val="00E3287A"/>
    <w:rsid w:val="00E50DE5"/>
    <w:rsid w:val="00E66526"/>
    <w:rsid w:val="00E74CA5"/>
    <w:rsid w:val="00E84B64"/>
    <w:rsid w:val="00E90F4F"/>
    <w:rsid w:val="00EB38BF"/>
    <w:rsid w:val="00ED0FF2"/>
    <w:rsid w:val="00ED1718"/>
    <w:rsid w:val="00ED3EB6"/>
    <w:rsid w:val="00EE2978"/>
    <w:rsid w:val="00F0500F"/>
    <w:rsid w:val="00F0505D"/>
    <w:rsid w:val="00F12E66"/>
    <w:rsid w:val="00F16C38"/>
    <w:rsid w:val="00F23388"/>
    <w:rsid w:val="00F343CA"/>
    <w:rsid w:val="00F51B4E"/>
    <w:rsid w:val="00F573FF"/>
    <w:rsid w:val="00F60242"/>
    <w:rsid w:val="00F70755"/>
    <w:rsid w:val="00F81853"/>
    <w:rsid w:val="00F86DEE"/>
    <w:rsid w:val="00FA40A8"/>
    <w:rsid w:val="00FB5302"/>
    <w:rsid w:val="00FD26B2"/>
    <w:rsid w:val="00FE34B0"/>
    <w:rsid w:val="00FE4920"/>
    <w:rsid w:val="00FF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rsid w:val="00207A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AA2"/>
    <w:pPr>
      <w:ind w:firstLineChars="200" w:firstLine="420"/>
    </w:pPr>
  </w:style>
  <w:style w:type="table" w:styleId="a4">
    <w:name w:val="Table Grid"/>
    <w:basedOn w:val="a1"/>
    <w:uiPriority w:val="59"/>
    <w:rsid w:val="00B8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9F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1492"/>
    <w:rPr>
      <w:kern w:val="2"/>
      <w:sz w:val="18"/>
      <w:szCs w:val="18"/>
    </w:rPr>
  </w:style>
  <w:style w:type="paragraph" w:styleId="a6">
    <w:name w:val="footer"/>
    <w:basedOn w:val="a"/>
    <w:link w:val="Char0"/>
    <w:uiPriority w:val="99"/>
    <w:rsid w:val="009F1492"/>
    <w:pPr>
      <w:tabs>
        <w:tab w:val="center" w:pos="4153"/>
        <w:tab w:val="right" w:pos="8306"/>
      </w:tabs>
      <w:snapToGrid w:val="0"/>
      <w:jc w:val="left"/>
    </w:pPr>
    <w:rPr>
      <w:sz w:val="18"/>
      <w:szCs w:val="18"/>
    </w:rPr>
  </w:style>
  <w:style w:type="character" w:customStyle="1" w:styleId="Char0">
    <w:name w:val="页脚 Char"/>
    <w:basedOn w:val="a0"/>
    <w:link w:val="a6"/>
    <w:uiPriority w:val="99"/>
    <w:rsid w:val="009F1492"/>
    <w:rPr>
      <w:kern w:val="2"/>
      <w:sz w:val="18"/>
      <w:szCs w:val="18"/>
    </w:rPr>
  </w:style>
  <w:style w:type="paragraph" w:styleId="a7">
    <w:name w:val="Normal (Web)"/>
    <w:basedOn w:val="a"/>
    <w:uiPriority w:val="99"/>
    <w:unhideWhenUsed/>
    <w:rsid w:val="009F1492"/>
    <w:pPr>
      <w:widowControl/>
      <w:spacing w:before="100" w:beforeAutospacing="1" w:after="100" w:afterAutospacing="1"/>
      <w:jc w:val="left"/>
    </w:pPr>
    <w:rPr>
      <w:rFonts w:ascii="宋体" w:hAnsi="宋体" w:cs="宋体"/>
      <w:kern w:val="0"/>
      <w:sz w:val="24"/>
    </w:rPr>
  </w:style>
  <w:style w:type="character" w:customStyle="1" w:styleId="menu1">
    <w:name w:val="menu1"/>
    <w:basedOn w:val="a0"/>
    <w:rsid w:val="009F1492"/>
  </w:style>
  <w:style w:type="table" w:styleId="a8">
    <w:name w:val="Table Theme"/>
    <w:basedOn w:val="a1"/>
    <w:rsid w:val="008C10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7CD3"/>
  </w:style>
  <w:style w:type="paragraph" w:styleId="a9">
    <w:name w:val="footnote text"/>
    <w:basedOn w:val="a"/>
    <w:link w:val="Char1"/>
    <w:rsid w:val="008F36C8"/>
    <w:pPr>
      <w:snapToGrid w:val="0"/>
      <w:jc w:val="left"/>
    </w:pPr>
    <w:rPr>
      <w:sz w:val="18"/>
      <w:szCs w:val="18"/>
    </w:rPr>
  </w:style>
  <w:style w:type="character" w:customStyle="1" w:styleId="Char1">
    <w:name w:val="脚注文本 Char"/>
    <w:basedOn w:val="a0"/>
    <w:link w:val="a9"/>
    <w:rsid w:val="008F36C8"/>
    <w:rPr>
      <w:kern w:val="2"/>
      <w:sz w:val="18"/>
      <w:szCs w:val="18"/>
    </w:rPr>
  </w:style>
  <w:style w:type="character" w:styleId="aa">
    <w:name w:val="footnote reference"/>
    <w:basedOn w:val="a0"/>
    <w:rsid w:val="008F36C8"/>
    <w:rPr>
      <w:vertAlign w:val="superscript"/>
    </w:rPr>
  </w:style>
  <w:style w:type="paragraph" w:styleId="ab">
    <w:name w:val="Balloon Text"/>
    <w:basedOn w:val="a"/>
    <w:link w:val="Char2"/>
    <w:rsid w:val="00C81740"/>
    <w:rPr>
      <w:sz w:val="18"/>
      <w:szCs w:val="18"/>
    </w:rPr>
  </w:style>
  <w:style w:type="character" w:customStyle="1" w:styleId="Char2">
    <w:name w:val="批注框文本 Char"/>
    <w:basedOn w:val="a0"/>
    <w:link w:val="ab"/>
    <w:rsid w:val="00C81740"/>
    <w:rPr>
      <w:kern w:val="2"/>
      <w:sz w:val="18"/>
      <w:szCs w:val="18"/>
    </w:rPr>
  </w:style>
  <w:style w:type="character" w:customStyle="1" w:styleId="2Char">
    <w:name w:val="标题 2 Char"/>
    <w:basedOn w:val="a0"/>
    <w:link w:val="2"/>
    <w:semiHidden/>
    <w:rsid w:val="00207A95"/>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semiHidden/>
    <w:unhideWhenUsed/>
    <w:qFormat/>
    <w:rsid w:val="00207A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AA2"/>
    <w:pPr>
      <w:ind w:firstLineChars="200" w:firstLine="420"/>
    </w:pPr>
  </w:style>
  <w:style w:type="table" w:styleId="a4">
    <w:name w:val="Table Grid"/>
    <w:basedOn w:val="a1"/>
    <w:uiPriority w:val="59"/>
    <w:rsid w:val="00B8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9F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1492"/>
    <w:rPr>
      <w:kern w:val="2"/>
      <w:sz w:val="18"/>
      <w:szCs w:val="18"/>
    </w:rPr>
  </w:style>
  <w:style w:type="paragraph" w:styleId="a6">
    <w:name w:val="footer"/>
    <w:basedOn w:val="a"/>
    <w:link w:val="Char0"/>
    <w:uiPriority w:val="99"/>
    <w:rsid w:val="009F1492"/>
    <w:pPr>
      <w:tabs>
        <w:tab w:val="center" w:pos="4153"/>
        <w:tab w:val="right" w:pos="8306"/>
      </w:tabs>
      <w:snapToGrid w:val="0"/>
      <w:jc w:val="left"/>
    </w:pPr>
    <w:rPr>
      <w:sz w:val="18"/>
      <w:szCs w:val="18"/>
    </w:rPr>
  </w:style>
  <w:style w:type="character" w:customStyle="1" w:styleId="Char0">
    <w:name w:val="页脚 Char"/>
    <w:basedOn w:val="a0"/>
    <w:link w:val="a6"/>
    <w:uiPriority w:val="99"/>
    <w:rsid w:val="009F1492"/>
    <w:rPr>
      <w:kern w:val="2"/>
      <w:sz w:val="18"/>
      <w:szCs w:val="18"/>
    </w:rPr>
  </w:style>
  <w:style w:type="paragraph" w:styleId="a7">
    <w:name w:val="Normal (Web)"/>
    <w:basedOn w:val="a"/>
    <w:uiPriority w:val="99"/>
    <w:unhideWhenUsed/>
    <w:rsid w:val="009F1492"/>
    <w:pPr>
      <w:widowControl/>
      <w:spacing w:before="100" w:beforeAutospacing="1" w:after="100" w:afterAutospacing="1"/>
      <w:jc w:val="left"/>
    </w:pPr>
    <w:rPr>
      <w:rFonts w:ascii="宋体" w:hAnsi="宋体" w:cs="宋体"/>
      <w:kern w:val="0"/>
      <w:sz w:val="24"/>
    </w:rPr>
  </w:style>
  <w:style w:type="character" w:customStyle="1" w:styleId="menu1">
    <w:name w:val="menu1"/>
    <w:basedOn w:val="a0"/>
    <w:rsid w:val="009F1492"/>
  </w:style>
  <w:style w:type="table" w:styleId="a8">
    <w:name w:val="Table Theme"/>
    <w:basedOn w:val="a1"/>
    <w:rsid w:val="008C10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7CD3"/>
  </w:style>
  <w:style w:type="paragraph" w:styleId="a9">
    <w:name w:val="footnote text"/>
    <w:basedOn w:val="a"/>
    <w:link w:val="Char1"/>
    <w:rsid w:val="008F36C8"/>
    <w:pPr>
      <w:snapToGrid w:val="0"/>
      <w:jc w:val="left"/>
    </w:pPr>
    <w:rPr>
      <w:sz w:val="18"/>
      <w:szCs w:val="18"/>
    </w:rPr>
  </w:style>
  <w:style w:type="character" w:customStyle="1" w:styleId="Char1">
    <w:name w:val="脚注文本 Char"/>
    <w:basedOn w:val="a0"/>
    <w:link w:val="a9"/>
    <w:rsid w:val="008F36C8"/>
    <w:rPr>
      <w:kern w:val="2"/>
      <w:sz w:val="18"/>
      <w:szCs w:val="18"/>
    </w:rPr>
  </w:style>
  <w:style w:type="character" w:styleId="aa">
    <w:name w:val="footnote reference"/>
    <w:basedOn w:val="a0"/>
    <w:rsid w:val="008F36C8"/>
    <w:rPr>
      <w:vertAlign w:val="superscript"/>
    </w:rPr>
  </w:style>
  <w:style w:type="paragraph" w:styleId="ab">
    <w:name w:val="Balloon Text"/>
    <w:basedOn w:val="a"/>
    <w:link w:val="Char2"/>
    <w:rsid w:val="00C81740"/>
    <w:rPr>
      <w:sz w:val="18"/>
      <w:szCs w:val="18"/>
    </w:rPr>
  </w:style>
  <w:style w:type="character" w:customStyle="1" w:styleId="Char2">
    <w:name w:val="批注框文本 Char"/>
    <w:basedOn w:val="a0"/>
    <w:link w:val="ab"/>
    <w:rsid w:val="00C81740"/>
    <w:rPr>
      <w:kern w:val="2"/>
      <w:sz w:val="18"/>
      <w:szCs w:val="18"/>
    </w:rPr>
  </w:style>
  <w:style w:type="character" w:customStyle="1" w:styleId="2Char">
    <w:name w:val="标题 2 Char"/>
    <w:basedOn w:val="a0"/>
    <w:link w:val="2"/>
    <w:semiHidden/>
    <w:rsid w:val="00207A95"/>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96">
      <w:bodyDiv w:val="1"/>
      <w:marLeft w:val="0"/>
      <w:marRight w:val="0"/>
      <w:marTop w:val="0"/>
      <w:marBottom w:val="0"/>
      <w:divBdr>
        <w:top w:val="none" w:sz="0" w:space="0" w:color="auto"/>
        <w:left w:val="none" w:sz="0" w:space="0" w:color="auto"/>
        <w:bottom w:val="none" w:sz="0" w:space="0" w:color="auto"/>
        <w:right w:val="none" w:sz="0" w:space="0" w:color="auto"/>
      </w:divBdr>
    </w:div>
    <w:div w:id="131947589">
      <w:bodyDiv w:val="1"/>
      <w:marLeft w:val="0"/>
      <w:marRight w:val="0"/>
      <w:marTop w:val="0"/>
      <w:marBottom w:val="0"/>
      <w:divBdr>
        <w:top w:val="none" w:sz="0" w:space="0" w:color="auto"/>
        <w:left w:val="none" w:sz="0" w:space="0" w:color="auto"/>
        <w:bottom w:val="none" w:sz="0" w:space="0" w:color="auto"/>
        <w:right w:val="none" w:sz="0" w:space="0" w:color="auto"/>
      </w:divBdr>
    </w:div>
    <w:div w:id="227696064">
      <w:bodyDiv w:val="1"/>
      <w:marLeft w:val="0"/>
      <w:marRight w:val="0"/>
      <w:marTop w:val="0"/>
      <w:marBottom w:val="0"/>
      <w:divBdr>
        <w:top w:val="none" w:sz="0" w:space="0" w:color="auto"/>
        <w:left w:val="none" w:sz="0" w:space="0" w:color="auto"/>
        <w:bottom w:val="none" w:sz="0" w:space="0" w:color="auto"/>
        <w:right w:val="none" w:sz="0" w:space="0" w:color="auto"/>
      </w:divBdr>
    </w:div>
    <w:div w:id="333412351">
      <w:bodyDiv w:val="1"/>
      <w:marLeft w:val="0"/>
      <w:marRight w:val="0"/>
      <w:marTop w:val="0"/>
      <w:marBottom w:val="0"/>
      <w:divBdr>
        <w:top w:val="none" w:sz="0" w:space="0" w:color="auto"/>
        <w:left w:val="none" w:sz="0" w:space="0" w:color="auto"/>
        <w:bottom w:val="none" w:sz="0" w:space="0" w:color="auto"/>
        <w:right w:val="none" w:sz="0" w:space="0" w:color="auto"/>
      </w:divBdr>
    </w:div>
    <w:div w:id="345209908">
      <w:bodyDiv w:val="1"/>
      <w:marLeft w:val="0"/>
      <w:marRight w:val="0"/>
      <w:marTop w:val="0"/>
      <w:marBottom w:val="0"/>
      <w:divBdr>
        <w:top w:val="none" w:sz="0" w:space="0" w:color="auto"/>
        <w:left w:val="none" w:sz="0" w:space="0" w:color="auto"/>
        <w:bottom w:val="none" w:sz="0" w:space="0" w:color="auto"/>
        <w:right w:val="none" w:sz="0" w:space="0" w:color="auto"/>
      </w:divBdr>
    </w:div>
    <w:div w:id="514686854">
      <w:bodyDiv w:val="1"/>
      <w:marLeft w:val="0"/>
      <w:marRight w:val="0"/>
      <w:marTop w:val="0"/>
      <w:marBottom w:val="0"/>
      <w:divBdr>
        <w:top w:val="none" w:sz="0" w:space="0" w:color="auto"/>
        <w:left w:val="none" w:sz="0" w:space="0" w:color="auto"/>
        <w:bottom w:val="none" w:sz="0" w:space="0" w:color="auto"/>
        <w:right w:val="none" w:sz="0" w:space="0" w:color="auto"/>
      </w:divBdr>
    </w:div>
    <w:div w:id="645352401">
      <w:bodyDiv w:val="1"/>
      <w:marLeft w:val="0"/>
      <w:marRight w:val="0"/>
      <w:marTop w:val="0"/>
      <w:marBottom w:val="0"/>
      <w:divBdr>
        <w:top w:val="none" w:sz="0" w:space="0" w:color="auto"/>
        <w:left w:val="none" w:sz="0" w:space="0" w:color="auto"/>
        <w:bottom w:val="none" w:sz="0" w:space="0" w:color="auto"/>
        <w:right w:val="none" w:sz="0" w:space="0" w:color="auto"/>
      </w:divBdr>
    </w:div>
    <w:div w:id="766852490">
      <w:bodyDiv w:val="1"/>
      <w:marLeft w:val="0"/>
      <w:marRight w:val="0"/>
      <w:marTop w:val="0"/>
      <w:marBottom w:val="0"/>
      <w:divBdr>
        <w:top w:val="none" w:sz="0" w:space="0" w:color="auto"/>
        <w:left w:val="none" w:sz="0" w:space="0" w:color="auto"/>
        <w:bottom w:val="none" w:sz="0" w:space="0" w:color="auto"/>
        <w:right w:val="none" w:sz="0" w:space="0" w:color="auto"/>
      </w:divBdr>
    </w:div>
    <w:div w:id="774326271">
      <w:bodyDiv w:val="1"/>
      <w:marLeft w:val="0"/>
      <w:marRight w:val="0"/>
      <w:marTop w:val="0"/>
      <w:marBottom w:val="0"/>
      <w:divBdr>
        <w:top w:val="none" w:sz="0" w:space="0" w:color="auto"/>
        <w:left w:val="none" w:sz="0" w:space="0" w:color="auto"/>
        <w:bottom w:val="none" w:sz="0" w:space="0" w:color="auto"/>
        <w:right w:val="none" w:sz="0" w:space="0" w:color="auto"/>
      </w:divBdr>
    </w:div>
    <w:div w:id="907419282">
      <w:bodyDiv w:val="1"/>
      <w:marLeft w:val="0"/>
      <w:marRight w:val="0"/>
      <w:marTop w:val="0"/>
      <w:marBottom w:val="0"/>
      <w:divBdr>
        <w:top w:val="none" w:sz="0" w:space="0" w:color="auto"/>
        <w:left w:val="none" w:sz="0" w:space="0" w:color="auto"/>
        <w:bottom w:val="none" w:sz="0" w:space="0" w:color="auto"/>
        <w:right w:val="none" w:sz="0" w:space="0" w:color="auto"/>
      </w:divBdr>
    </w:div>
    <w:div w:id="923413138">
      <w:bodyDiv w:val="1"/>
      <w:marLeft w:val="0"/>
      <w:marRight w:val="0"/>
      <w:marTop w:val="0"/>
      <w:marBottom w:val="0"/>
      <w:divBdr>
        <w:top w:val="none" w:sz="0" w:space="0" w:color="auto"/>
        <w:left w:val="none" w:sz="0" w:space="0" w:color="auto"/>
        <w:bottom w:val="none" w:sz="0" w:space="0" w:color="auto"/>
        <w:right w:val="none" w:sz="0" w:space="0" w:color="auto"/>
      </w:divBdr>
    </w:div>
    <w:div w:id="944919436">
      <w:bodyDiv w:val="1"/>
      <w:marLeft w:val="0"/>
      <w:marRight w:val="0"/>
      <w:marTop w:val="0"/>
      <w:marBottom w:val="0"/>
      <w:divBdr>
        <w:top w:val="none" w:sz="0" w:space="0" w:color="auto"/>
        <w:left w:val="none" w:sz="0" w:space="0" w:color="auto"/>
        <w:bottom w:val="none" w:sz="0" w:space="0" w:color="auto"/>
        <w:right w:val="none" w:sz="0" w:space="0" w:color="auto"/>
      </w:divBdr>
    </w:div>
    <w:div w:id="945502087">
      <w:bodyDiv w:val="1"/>
      <w:marLeft w:val="0"/>
      <w:marRight w:val="0"/>
      <w:marTop w:val="0"/>
      <w:marBottom w:val="0"/>
      <w:divBdr>
        <w:top w:val="none" w:sz="0" w:space="0" w:color="auto"/>
        <w:left w:val="none" w:sz="0" w:space="0" w:color="auto"/>
        <w:bottom w:val="none" w:sz="0" w:space="0" w:color="auto"/>
        <w:right w:val="none" w:sz="0" w:space="0" w:color="auto"/>
      </w:divBdr>
    </w:div>
    <w:div w:id="1019625896">
      <w:bodyDiv w:val="1"/>
      <w:marLeft w:val="0"/>
      <w:marRight w:val="0"/>
      <w:marTop w:val="0"/>
      <w:marBottom w:val="0"/>
      <w:divBdr>
        <w:top w:val="none" w:sz="0" w:space="0" w:color="auto"/>
        <w:left w:val="none" w:sz="0" w:space="0" w:color="auto"/>
        <w:bottom w:val="none" w:sz="0" w:space="0" w:color="auto"/>
        <w:right w:val="none" w:sz="0" w:space="0" w:color="auto"/>
      </w:divBdr>
    </w:div>
    <w:div w:id="1026827640">
      <w:bodyDiv w:val="1"/>
      <w:marLeft w:val="0"/>
      <w:marRight w:val="0"/>
      <w:marTop w:val="0"/>
      <w:marBottom w:val="0"/>
      <w:divBdr>
        <w:top w:val="none" w:sz="0" w:space="0" w:color="auto"/>
        <w:left w:val="none" w:sz="0" w:space="0" w:color="auto"/>
        <w:bottom w:val="none" w:sz="0" w:space="0" w:color="auto"/>
        <w:right w:val="none" w:sz="0" w:space="0" w:color="auto"/>
      </w:divBdr>
    </w:div>
    <w:div w:id="1156842163">
      <w:bodyDiv w:val="1"/>
      <w:marLeft w:val="0"/>
      <w:marRight w:val="0"/>
      <w:marTop w:val="0"/>
      <w:marBottom w:val="0"/>
      <w:divBdr>
        <w:top w:val="none" w:sz="0" w:space="0" w:color="auto"/>
        <w:left w:val="none" w:sz="0" w:space="0" w:color="auto"/>
        <w:bottom w:val="none" w:sz="0" w:space="0" w:color="auto"/>
        <w:right w:val="none" w:sz="0" w:space="0" w:color="auto"/>
      </w:divBdr>
    </w:div>
    <w:div w:id="1183321202">
      <w:bodyDiv w:val="1"/>
      <w:marLeft w:val="0"/>
      <w:marRight w:val="0"/>
      <w:marTop w:val="0"/>
      <w:marBottom w:val="0"/>
      <w:divBdr>
        <w:top w:val="none" w:sz="0" w:space="0" w:color="auto"/>
        <w:left w:val="none" w:sz="0" w:space="0" w:color="auto"/>
        <w:bottom w:val="none" w:sz="0" w:space="0" w:color="auto"/>
        <w:right w:val="none" w:sz="0" w:space="0" w:color="auto"/>
      </w:divBdr>
    </w:div>
    <w:div w:id="1298343632">
      <w:bodyDiv w:val="1"/>
      <w:marLeft w:val="0"/>
      <w:marRight w:val="0"/>
      <w:marTop w:val="0"/>
      <w:marBottom w:val="0"/>
      <w:divBdr>
        <w:top w:val="none" w:sz="0" w:space="0" w:color="auto"/>
        <w:left w:val="none" w:sz="0" w:space="0" w:color="auto"/>
        <w:bottom w:val="none" w:sz="0" w:space="0" w:color="auto"/>
        <w:right w:val="none" w:sz="0" w:space="0" w:color="auto"/>
      </w:divBdr>
    </w:div>
    <w:div w:id="1563828538">
      <w:bodyDiv w:val="1"/>
      <w:marLeft w:val="0"/>
      <w:marRight w:val="0"/>
      <w:marTop w:val="0"/>
      <w:marBottom w:val="0"/>
      <w:divBdr>
        <w:top w:val="none" w:sz="0" w:space="0" w:color="auto"/>
        <w:left w:val="none" w:sz="0" w:space="0" w:color="auto"/>
        <w:bottom w:val="none" w:sz="0" w:space="0" w:color="auto"/>
        <w:right w:val="none" w:sz="0" w:space="0" w:color="auto"/>
      </w:divBdr>
    </w:div>
    <w:div w:id="1687826545">
      <w:bodyDiv w:val="1"/>
      <w:marLeft w:val="0"/>
      <w:marRight w:val="0"/>
      <w:marTop w:val="0"/>
      <w:marBottom w:val="0"/>
      <w:divBdr>
        <w:top w:val="none" w:sz="0" w:space="0" w:color="auto"/>
        <w:left w:val="none" w:sz="0" w:space="0" w:color="auto"/>
        <w:bottom w:val="none" w:sz="0" w:space="0" w:color="auto"/>
        <w:right w:val="none" w:sz="0" w:space="0" w:color="auto"/>
      </w:divBdr>
    </w:div>
    <w:div w:id="1984576316">
      <w:bodyDiv w:val="1"/>
      <w:marLeft w:val="0"/>
      <w:marRight w:val="0"/>
      <w:marTop w:val="0"/>
      <w:marBottom w:val="0"/>
      <w:divBdr>
        <w:top w:val="none" w:sz="0" w:space="0" w:color="auto"/>
        <w:left w:val="none" w:sz="0" w:space="0" w:color="auto"/>
        <w:bottom w:val="none" w:sz="0" w:space="0" w:color="auto"/>
        <w:right w:val="none" w:sz="0" w:space="0" w:color="auto"/>
      </w:divBdr>
    </w:div>
    <w:div w:id="1985238677">
      <w:bodyDiv w:val="1"/>
      <w:marLeft w:val="0"/>
      <w:marRight w:val="0"/>
      <w:marTop w:val="0"/>
      <w:marBottom w:val="0"/>
      <w:divBdr>
        <w:top w:val="none" w:sz="0" w:space="0" w:color="auto"/>
        <w:left w:val="none" w:sz="0" w:space="0" w:color="auto"/>
        <w:bottom w:val="none" w:sz="0" w:space="0" w:color="auto"/>
        <w:right w:val="none" w:sz="0" w:space="0" w:color="auto"/>
      </w:divBdr>
    </w:div>
    <w:div w:id="2004043746">
      <w:bodyDiv w:val="1"/>
      <w:marLeft w:val="0"/>
      <w:marRight w:val="0"/>
      <w:marTop w:val="0"/>
      <w:marBottom w:val="0"/>
      <w:divBdr>
        <w:top w:val="none" w:sz="0" w:space="0" w:color="auto"/>
        <w:left w:val="none" w:sz="0" w:space="0" w:color="auto"/>
        <w:bottom w:val="none" w:sz="0" w:space="0" w:color="auto"/>
        <w:right w:val="none" w:sz="0" w:space="0" w:color="auto"/>
      </w:divBdr>
    </w:div>
    <w:div w:id="2067945835">
      <w:bodyDiv w:val="1"/>
      <w:marLeft w:val="0"/>
      <w:marRight w:val="0"/>
      <w:marTop w:val="0"/>
      <w:marBottom w:val="0"/>
      <w:divBdr>
        <w:top w:val="none" w:sz="0" w:space="0" w:color="auto"/>
        <w:left w:val="none" w:sz="0" w:space="0" w:color="auto"/>
        <w:bottom w:val="none" w:sz="0" w:space="0" w:color="auto"/>
        <w:right w:val="none" w:sz="0" w:space="0" w:color="auto"/>
      </w:divBdr>
    </w:div>
    <w:div w:id="2102142028">
      <w:bodyDiv w:val="1"/>
      <w:marLeft w:val="0"/>
      <w:marRight w:val="0"/>
      <w:marTop w:val="0"/>
      <w:marBottom w:val="0"/>
      <w:divBdr>
        <w:top w:val="none" w:sz="0" w:space="0" w:color="auto"/>
        <w:left w:val="none" w:sz="0" w:space="0" w:color="auto"/>
        <w:bottom w:val="none" w:sz="0" w:space="0" w:color="auto"/>
        <w:right w:val="none" w:sz="0" w:space="0" w:color="auto"/>
      </w:divBdr>
    </w:div>
    <w:div w:id="2111928276">
      <w:bodyDiv w:val="1"/>
      <w:marLeft w:val="0"/>
      <w:marRight w:val="0"/>
      <w:marTop w:val="0"/>
      <w:marBottom w:val="0"/>
      <w:divBdr>
        <w:top w:val="none" w:sz="0" w:space="0" w:color="auto"/>
        <w:left w:val="none" w:sz="0" w:space="0" w:color="auto"/>
        <w:bottom w:val="none" w:sz="0" w:space="0" w:color="auto"/>
        <w:right w:val="none" w:sz="0" w:space="0" w:color="auto"/>
      </w:divBdr>
    </w:div>
    <w:div w:id="2120487062">
      <w:bodyDiv w:val="1"/>
      <w:marLeft w:val="0"/>
      <w:marRight w:val="0"/>
      <w:marTop w:val="0"/>
      <w:marBottom w:val="0"/>
      <w:divBdr>
        <w:top w:val="none" w:sz="0" w:space="0" w:color="auto"/>
        <w:left w:val="none" w:sz="0" w:space="0" w:color="auto"/>
        <w:bottom w:val="none" w:sz="0" w:space="0" w:color="auto"/>
        <w:right w:val="none" w:sz="0" w:space="0" w:color="auto"/>
      </w:divBdr>
    </w:div>
    <w:div w:id="21294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fgc\Desktop\&#26032;&#24314;%20Microsoft%20Excel%20&#24037;&#20316;&#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fgc\Desktop\&#26032;&#24314;%20Microsoft%20Excel%20&#24037;&#20316;&#349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0507436570429"/>
          <c:y val="7.4548702245552642E-2"/>
          <c:w val="0.87759492563429575"/>
          <c:h val="0.82893919510061242"/>
        </c:manualLayout>
      </c:layout>
      <c:barChart>
        <c:barDir val="col"/>
        <c:grouping val="stacked"/>
        <c:varyColors val="0"/>
        <c:ser>
          <c:idx val="0"/>
          <c:order val="0"/>
          <c:invertIfNegative val="0"/>
          <c:dPt>
            <c:idx val="0"/>
            <c:invertIfNegative val="0"/>
            <c:bubble3D val="0"/>
            <c:spPr>
              <a:solidFill>
                <a:srgbClr val="FF0000"/>
              </a:solidFill>
            </c:spPr>
          </c:dPt>
          <c:dPt>
            <c:idx val="1"/>
            <c:invertIfNegative val="0"/>
            <c:bubble3D val="0"/>
            <c:spPr>
              <a:solidFill>
                <a:srgbClr val="FFFF00"/>
              </a:solidFill>
            </c:spPr>
          </c:dPt>
          <c:dPt>
            <c:idx val="2"/>
            <c:invertIfNegative val="0"/>
            <c:bubble3D val="0"/>
            <c:spPr>
              <a:solidFill>
                <a:schemeClr val="bg1">
                  <a:lumMod val="50000"/>
                </a:schemeClr>
              </a:solidFill>
            </c:spPr>
          </c:dPt>
          <c:dLbls>
            <c:dLbl>
              <c:idx val="0"/>
              <c:layout>
                <c:manualLayout>
                  <c:x val="2.777777777777803E-3"/>
                  <c:y val="-0.40740740740740738"/>
                </c:manualLayout>
              </c:layout>
              <c:showLegendKey val="0"/>
              <c:showVal val="1"/>
              <c:showCatName val="0"/>
              <c:showSerName val="0"/>
              <c:showPercent val="0"/>
              <c:showBubbleSize val="0"/>
            </c:dLbl>
            <c:dLbl>
              <c:idx val="1"/>
              <c:layout>
                <c:manualLayout>
                  <c:x val="-2.7777777777777779E-3"/>
                  <c:y val="-0.34722222222222221"/>
                </c:manualLayout>
              </c:layout>
              <c:showLegendKey val="0"/>
              <c:showVal val="1"/>
              <c:showCatName val="0"/>
              <c:showSerName val="0"/>
              <c:showPercent val="0"/>
              <c:showBubbleSize val="0"/>
            </c:dLbl>
            <c:dLbl>
              <c:idx val="2"/>
              <c:layout>
                <c:manualLayout>
                  <c:x val="-2.7777777777777779E-3"/>
                  <c:y val="-0.1990740740740740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Sheet1!$E$1:$E$3</c:f>
              <c:strCache>
                <c:ptCount val="3"/>
                <c:pt idx="0">
                  <c:v>人才培养</c:v>
                </c:pt>
                <c:pt idx="1">
                  <c:v>科学研究</c:v>
                </c:pt>
                <c:pt idx="2">
                  <c:v>社会影响</c:v>
                </c:pt>
              </c:strCache>
            </c:strRef>
          </c:cat>
          <c:val>
            <c:numRef>
              <c:f>Sheet1!$F$1:$F$3</c:f>
              <c:numCache>
                <c:formatCode>0.00%</c:formatCode>
                <c:ptCount val="3"/>
                <c:pt idx="0" formatCode="0%">
                  <c:v>0.48</c:v>
                </c:pt>
                <c:pt idx="1">
                  <c:v>0.35199999999999998</c:v>
                </c:pt>
                <c:pt idx="2">
                  <c:v>0.16800000000000001</c:v>
                </c:pt>
              </c:numCache>
            </c:numRef>
          </c:val>
        </c:ser>
        <c:dLbls>
          <c:showLegendKey val="0"/>
          <c:showVal val="0"/>
          <c:showCatName val="0"/>
          <c:showSerName val="0"/>
          <c:showPercent val="0"/>
          <c:showBubbleSize val="0"/>
        </c:dLbls>
        <c:gapWidth val="150"/>
        <c:overlap val="100"/>
        <c:axId val="235631744"/>
        <c:axId val="235633664"/>
      </c:barChart>
      <c:catAx>
        <c:axId val="235631744"/>
        <c:scaling>
          <c:orientation val="minMax"/>
        </c:scaling>
        <c:delete val="0"/>
        <c:axPos val="b"/>
        <c:majorTickMark val="out"/>
        <c:minorTickMark val="none"/>
        <c:tickLblPos val="nextTo"/>
        <c:crossAx val="235633664"/>
        <c:crosses val="autoZero"/>
        <c:auto val="1"/>
        <c:lblAlgn val="ctr"/>
        <c:lblOffset val="100"/>
        <c:noMultiLvlLbl val="0"/>
      </c:catAx>
      <c:valAx>
        <c:axId val="235633664"/>
        <c:scaling>
          <c:orientation val="minMax"/>
        </c:scaling>
        <c:delete val="0"/>
        <c:axPos val="l"/>
        <c:majorGridlines/>
        <c:numFmt formatCode="0%" sourceLinked="1"/>
        <c:majorTickMark val="out"/>
        <c:minorTickMark val="none"/>
        <c:tickLblPos val="nextTo"/>
        <c:crossAx val="2356317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rgbClr val="FF0000"/>
              </a:solidFill>
            </c:spPr>
          </c:dPt>
          <c:dPt>
            <c:idx val="1"/>
            <c:invertIfNegative val="0"/>
            <c:bubble3D val="0"/>
            <c:spPr>
              <a:solidFill>
                <a:schemeClr val="accent6"/>
              </a:solidFill>
            </c:spPr>
          </c:dPt>
          <c:dPt>
            <c:idx val="2"/>
            <c:invertIfNegative val="0"/>
            <c:bubble3D val="0"/>
            <c:spPr>
              <a:solidFill>
                <a:schemeClr val="accent6"/>
              </a:solidFill>
            </c:spPr>
          </c:dPt>
          <c:dPt>
            <c:idx val="3"/>
            <c:invertIfNegative val="0"/>
            <c:bubble3D val="0"/>
            <c:spPr>
              <a:solidFill>
                <a:schemeClr val="accent6"/>
              </a:solidFill>
            </c:spPr>
          </c:dPt>
          <c:dPt>
            <c:idx val="4"/>
            <c:invertIfNegative val="0"/>
            <c:bubble3D val="0"/>
            <c:spPr>
              <a:solidFill>
                <a:srgbClr val="FFFF00"/>
              </a:solidFill>
            </c:spPr>
          </c:dPt>
          <c:dPt>
            <c:idx val="5"/>
            <c:invertIfNegative val="0"/>
            <c:bubble3D val="0"/>
            <c:spPr>
              <a:solidFill>
                <a:srgbClr val="FFFF00"/>
              </a:solidFill>
            </c:spPr>
          </c:dPt>
          <c:dPt>
            <c:idx val="6"/>
            <c:invertIfNegative val="0"/>
            <c:bubble3D val="0"/>
            <c:spPr>
              <a:solidFill>
                <a:srgbClr val="FFFF00"/>
              </a:solidFill>
            </c:spPr>
          </c:dPt>
          <c:dPt>
            <c:idx val="7"/>
            <c:invertIfNegative val="0"/>
            <c:bubble3D val="0"/>
            <c:spPr>
              <a:solidFill>
                <a:schemeClr val="bg1">
                  <a:lumMod val="50000"/>
                </a:schemeClr>
              </a:solidFill>
            </c:spPr>
          </c:dPt>
          <c:dPt>
            <c:idx val="8"/>
            <c:invertIfNegative val="0"/>
            <c:bubble3D val="0"/>
            <c:spPr>
              <a:solidFill>
                <a:schemeClr val="bg1">
                  <a:lumMod val="50000"/>
                </a:schemeClr>
              </a:solidFill>
            </c:spPr>
          </c:dPt>
          <c:dLbls>
            <c:dLbl>
              <c:idx val="0"/>
              <c:layout>
                <c:manualLayout>
                  <c:x val="8.3333333333333332E-3"/>
                  <c:y val="-0.3611111111111111"/>
                </c:manualLayout>
              </c:layout>
              <c:showLegendKey val="0"/>
              <c:showVal val="1"/>
              <c:showCatName val="0"/>
              <c:showSerName val="0"/>
              <c:showPercent val="0"/>
              <c:showBubbleSize val="0"/>
            </c:dLbl>
            <c:dLbl>
              <c:idx val="1"/>
              <c:layout>
                <c:manualLayout>
                  <c:x val="0"/>
                  <c:y val="-0.23148148148148148"/>
                </c:manualLayout>
              </c:layout>
              <c:showLegendKey val="0"/>
              <c:showVal val="1"/>
              <c:showCatName val="0"/>
              <c:showSerName val="0"/>
              <c:showPercent val="0"/>
              <c:showBubbleSize val="0"/>
            </c:dLbl>
            <c:dLbl>
              <c:idx val="2"/>
              <c:layout>
                <c:manualLayout>
                  <c:x val="5.5555555555555558E-3"/>
                  <c:y val="-0.19907407407407407"/>
                </c:manualLayout>
              </c:layout>
              <c:showLegendKey val="0"/>
              <c:showVal val="1"/>
              <c:showCatName val="0"/>
              <c:showSerName val="0"/>
              <c:showPercent val="0"/>
              <c:showBubbleSize val="0"/>
            </c:dLbl>
            <c:dLbl>
              <c:idx val="3"/>
              <c:layout>
                <c:manualLayout>
                  <c:x val="2.7777777777778286E-3"/>
                  <c:y val="-0.16666666666666666"/>
                </c:manualLayout>
              </c:layout>
              <c:showLegendKey val="0"/>
              <c:showVal val="1"/>
              <c:showCatName val="0"/>
              <c:showSerName val="0"/>
              <c:showPercent val="0"/>
              <c:showBubbleSize val="0"/>
            </c:dLbl>
            <c:dLbl>
              <c:idx val="4"/>
              <c:layout>
                <c:manualLayout>
                  <c:x val="1.3888888888888888E-2"/>
                  <c:y val="-0.1435185185185186"/>
                </c:manualLayout>
              </c:layout>
              <c:showLegendKey val="0"/>
              <c:showVal val="1"/>
              <c:showCatName val="0"/>
              <c:showSerName val="0"/>
              <c:showPercent val="0"/>
              <c:showBubbleSize val="0"/>
            </c:dLbl>
            <c:dLbl>
              <c:idx val="5"/>
              <c:layout>
                <c:manualLayout>
                  <c:x val="5.5555555555555558E-3"/>
                  <c:y val="-0.14814814814814822"/>
                </c:manualLayout>
              </c:layout>
              <c:showLegendKey val="0"/>
              <c:showVal val="1"/>
              <c:showCatName val="0"/>
              <c:showSerName val="0"/>
              <c:showPercent val="0"/>
              <c:showBubbleSize val="0"/>
            </c:dLbl>
            <c:dLbl>
              <c:idx val="6"/>
              <c:layout>
                <c:manualLayout>
                  <c:x val="1.1111111111111112E-2"/>
                  <c:y val="-0.15277777777777787"/>
                </c:manualLayout>
              </c:layout>
              <c:showLegendKey val="0"/>
              <c:showVal val="1"/>
              <c:showCatName val="0"/>
              <c:showSerName val="0"/>
              <c:showPercent val="0"/>
              <c:showBubbleSize val="0"/>
            </c:dLbl>
            <c:dLbl>
              <c:idx val="7"/>
              <c:layout>
                <c:manualLayout>
                  <c:x val="0"/>
                  <c:y val="-0.11574074074074074"/>
                </c:manualLayout>
              </c:layout>
              <c:showLegendKey val="0"/>
              <c:showVal val="1"/>
              <c:showCatName val="0"/>
              <c:showSerName val="0"/>
              <c:showPercent val="0"/>
              <c:showBubbleSize val="0"/>
            </c:dLbl>
            <c:dLbl>
              <c:idx val="8"/>
              <c:layout>
                <c:manualLayout>
                  <c:x val="-1.0185067526415994E-16"/>
                  <c:y val="-8.79629629629629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Sheet1!$G$1:$G$9</c:f>
              <c:strCache>
                <c:ptCount val="9"/>
                <c:pt idx="0">
                  <c:v>教学质量</c:v>
                </c:pt>
                <c:pt idx="1">
                  <c:v>科研成果</c:v>
                </c:pt>
                <c:pt idx="2">
                  <c:v>师资队伍</c:v>
                </c:pt>
                <c:pt idx="3">
                  <c:v>社会声誉</c:v>
                </c:pt>
                <c:pt idx="4">
                  <c:v>培养基地</c:v>
                </c:pt>
                <c:pt idx="5">
                  <c:v>科研基地</c:v>
                </c:pt>
                <c:pt idx="6">
                  <c:v>科研项目</c:v>
                </c:pt>
                <c:pt idx="7">
                  <c:v>国际影响</c:v>
                </c:pt>
                <c:pt idx="8">
                  <c:v>办学定位</c:v>
                </c:pt>
              </c:strCache>
            </c:strRef>
          </c:cat>
          <c:val>
            <c:numRef>
              <c:f>Sheet1!$H$1:$H$9</c:f>
              <c:numCache>
                <c:formatCode>0.00%</c:formatCode>
                <c:ptCount val="9"/>
                <c:pt idx="0">
                  <c:v>0.26400000000000001</c:v>
                </c:pt>
                <c:pt idx="1">
                  <c:v>0.16</c:v>
                </c:pt>
                <c:pt idx="2">
                  <c:v>0.12</c:v>
                </c:pt>
                <c:pt idx="3">
                  <c:v>0.104</c:v>
                </c:pt>
                <c:pt idx="4">
                  <c:v>9.6000000000000002E-2</c:v>
                </c:pt>
                <c:pt idx="5">
                  <c:v>9.6000000000000002E-2</c:v>
                </c:pt>
                <c:pt idx="6">
                  <c:v>9.6000000000000002E-2</c:v>
                </c:pt>
                <c:pt idx="7">
                  <c:v>4.3999999999999997E-2</c:v>
                </c:pt>
                <c:pt idx="8">
                  <c:v>0.02</c:v>
                </c:pt>
              </c:numCache>
            </c:numRef>
          </c:val>
        </c:ser>
        <c:dLbls>
          <c:showLegendKey val="0"/>
          <c:showVal val="0"/>
          <c:showCatName val="0"/>
          <c:showSerName val="0"/>
          <c:showPercent val="0"/>
          <c:showBubbleSize val="0"/>
        </c:dLbls>
        <c:gapWidth val="150"/>
        <c:overlap val="100"/>
        <c:axId val="117483008"/>
        <c:axId val="117484544"/>
      </c:barChart>
      <c:catAx>
        <c:axId val="117483008"/>
        <c:scaling>
          <c:orientation val="minMax"/>
        </c:scaling>
        <c:delete val="0"/>
        <c:axPos val="b"/>
        <c:majorTickMark val="out"/>
        <c:minorTickMark val="none"/>
        <c:tickLblPos val="nextTo"/>
        <c:crossAx val="117484544"/>
        <c:crosses val="autoZero"/>
        <c:auto val="1"/>
        <c:lblAlgn val="ctr"/>
        <c:lblOffset val="100"/>
        <c:noMultiLvlLbl val="0"/>
      </c:catAx>
      <c:valAx>
        <c:axId val="117484544"/>
        <c:scaling>
          <c:orientation val="minMax"/>
        </c:scaling>
        <c:delete val="0"/>
        <c:axPos val="l"/>
        <c:majorGridlines/>
        <c:numFmt formatCode="0.00%" sourceLinked="1"/>
        <c:majorTickMark val="out"/>
        <c:minorTickMark val="none"/>
        <c:tickLblPos val="nextTo"/>
        <c:crossAx val="117483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3980187960376"/>
          <c:y val="6.9919072615923006E-2"/>
          <c:w val="0.86230068015691586"/>
          <c:h val="0.65014873140857388"/>
        </c:manualLayout>
      </c:layout>
      <c:barChart>
        <c:barDir val="col"/>
        <c:grouping val="stacked"/>
        <c:varyColors val="0"/>
        <c:ser>
          <c:idx val="0"/>
          <c:order val="0"/>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Pt>
            <c:idx val="4"/>
            <c:invertIfNegative val="0"/>
            <c:bubble3D val="0"/>
            <c:spPr>
              <a:solidFill>
                <a:srgbClr val="FFFF00"/>
              </a:solidFill>
            </c:spPr>
          </c:dPt>
          <c:dPt>
            <c:idx val="5"/>
            <c:invertIfNegative val="0"/>
            <c:bubble3D val="0"/>
            <c:spPr>
              <a:solidFill>
                <a:srgbClr val="FFFF00"/>
              </a:solidFill>
            </c:spPr>
          </c:dPt>
          <c:dPt>
            <c:idx val="6"/>
            <c:invertIfNegative val="0"/>
            <c:bubble3D val="0"/>
            <c:spPr>
              <a:solidFill>
                <a:srgbClr val="FFFF00"/>
              </a:solidFill>
            </c:spPr>
          </c:dPt>
          <c:dPt>
            <c:idx val="7"/>
            <c:invertIfNegative val="0"/>
            <c:bubble3D val="0"/>
            <c:spPr>
              <a:solidFill>
                <a:srgbClr val="FFFF00"/>
              </a:solidFill>
            </c:spPr>
          </c:dPt>
          <c:dPt>
            <c:idx val="8"/>
            <c:invertIfNegative val="0"/>
            <c:bubble3D val="0"/>
            <c:spPr>
              <a:solidFill>
                <a:schemeClr val="bg1">
                  <a:lumMod val="50000"/>
                </a:schemeClr>
              </a:solidFill>
            </c:spPr>
          </c:dPt>
          <c:dPt>
            <c:idx val="9"/>
            <c:invertIfNegative val="0"/>
            <c:bubble3D val="0"/>
            <c:spPr>
              <a:solidFill>
                <a:schemeClr val="bg1">
                  <a:lumMod val="50000"/>
                </a:schemeClr>
              </a:solidFill>
            </c:spPr>
          </c:dPt>
          <c:dPt>
            <c:idx val="10"/>
            <c:invertIfNegative val="0"/>
            <c:bubble3D val="0"/>
            <c:spPr>
              <a:solidFill>
                <a:schemeClr val="bg1">
                  <a:lumMod val="50000"/>
                </a:schemeClr>
              </a:solidFill>
            </c:spPr>
          </c:dPt>
          <c:dPt>
            <c:idx val="11"/>
            <c:invertIfNegative val="0"/>
            <c:bubble3D val="0"/>
            <c:spPr>
              <a:solidFill>
                <a:schemeClr val="bg1">
                  <a:lumMod val="50000"/>
                </a:schemeClr>
              </a:solidFill>
            </c:spPr>
          </c:dPt>
          <c:dLbls>
            <c:dLbl>
              <c:idx val="0"/>
              <c:layout>
                <c:manualLayout>
                  <c:x val="8.3333333333333332E-3"/>
                  <c:y val="-0.31944444444444442"/>
                </c:manualLayout>
              </c:layout>
              <c:showLegendKey val="0"/>
              <c:showVal val="1"/>
              <c:showCatName val="0"/>
              <c:showSerName val="0"/>
              <c:showPercent val="0"/>
              <c:showBubbleSize val="0"/>
            </c:dLbl>
            <c:dLbl>
              <c:idx val="1"/>
              <c:layout>
                <c:manualLayout>
                  <c:x val="3.0555555555555582E-2"/>
                  <c:y val="-0.33333333333333331"/>
                </c:manualLayout>
              </c:layout>
              <c:showLegendKey val="0"/>
              <c:showVal val="1"/>
              <c:showCatName val="0"/>
              <c:showSerName val="0"/>
              <c:showPercent val="0"/>
              <c:showBubbleSize val="0"/>
            </c:dLbl>
            <c:dLbl>
              <c:idx val="2"/>
              <c:layout>
                <c:manualLayout>
                  <c:x val="1.1111111111111112E-2"/>
                  <c:y val="-0.26851851851851855"/>
                </c:manualLayout>
              </c:layout>
              <c:showLegendKey val="0"/>
              <c:showVal val="1"/>
              <c:showCatName val="0"/>
              <c:showSerName val="0"/>
              <c:showPercent val="0"/>
              <c:showBubbleSize val="0"/>
            </c:dLbl>
            <c:dLbl>
              <c:idx val="3"/>
              <c:layout>
                <c:manualLayout>
                  <c:x val="1.9444444444444445E-2"/>
                  <c:y val="-0.23148148148148148"/>
                </c:manualLayout>
              </c:layout>
              <c:showLegendKey val="0"/>
              <c:showVal val="1"/>
              <c:showCatName val="0"/>
              <c:showSerName val="0"/>
              <c:showPercent val="0"/>
              <c:showBubbleSize val="0"/>
            </c:dLbl>
            <c:dLbl>
              <c:idx val="4"/>
              <c:layout>
                <c:manualLayout>
                  <c:x val="1.6666666666666614E-2"/>
                  <c:y val="-0.19444444444444439"/>
                </c:manualLayout>
              </c:layout>
              <c:showLegendKey val="0"/>
              <c:showVal val="1"/>
              <c:showCatName val="0"/>
              <c:showSerName val="0"/>
              <c:showPercent val="0"/>
              <c:showBubbleSize val="0"/>
            </c:dLbl>
            <c:dLbl>
              <c:idx val="5"/>
              <c:layout>
                <c:manualLayout>
                  <c:x val="1.1111111111111112E-2"/>
                  <c:y val="-0.2407407407407407"/>
                </c:manualLayout>
              </c:layout>
              <c:showLegendKey val="0"/>
              <c:showVal val="1"/>
              <c:showCatName val="0"/>
              <c:showSerName val="0"/>
              <c:showPercent val="0"/>
              <c:showBubbleSize val="0"/>
            </c:dLbl>
            <c:dLbl>
              <c:idx val="6"/>
              <c:layout>
                <c:manualLayout>
                  <c:x val="2.7777777777777776E-2"/>
                  <c:y val="-0.22222222222222218"/>
                </c:manualLayout>
              </c:layout>
              <c:showLegendKey val="0"/>
              <c:showVal val="1"/>
              <c:showCatName val="0"/>
              <c:showSerName val="0"/>
              <c:showPercent val="0"/>
              <c:showBubbleSize val="0"/>
            </c:dLbl>
            <c:dLbl>
              <c:idx val="7"/>
              <c:layout>
                <c:manualLayout>
                  <c:x val="8.3333333333333332E-3"/>
                  <c:y val="-0.12962962962962962"/>
                </c:manualLayout>
              </c:layout>
              <c:showLegendKey val="0"/>
              <c:showVal val="1"/>
              <c:showCatName val="0"/>
              <c:showSerName val="0"/>
              <c:showPercent val="0"/>
              <c:showBubbleSize val="0"/>
            </c:dLbl>
            <c:dLbl>
              <c:idx val="8"/>
              <c:layout>
                <c:manualLayout>
                  <c:x val="1.9444444444444445E-2"/>
                  <c:y val="-0.12962962962962962"/>
                </c:manualLayout>
              </c:layout>
              <c:showLegendKey val="0"/>
              <c:showVal val="1"/>
              <c:showCatName val="0"/>
              <c:showSerName val="0"/>
              <c:showPercent val="0"/>
              <c:showBubbleSize val="0"/>
            </c:dLbl>
            <c:dLbl>
              <c:idx val="9"/>
              <c:layout>
                <c:manualLayout>
                  <c:x val="1.1111111111111112E-2"/>
                  <c:y val="-0.10185185185185185"/>
                </c:manualLayout>
              </c:layout>
              <c:showLegendKey val="0"/>
              <c:showVal val="1"/>
              <c:showCatName val="0"/>
              <c:showSerName val="0"/>
              <c:showPercent val="0"/>
              <c:showBubbleSize val="0"/>
            </c:dLbl>
            <c:dLbl>
              <c:idx val="10"/>
              <c:layout>
                <c:manualLayout>
                  <c:x val="8.3333333333333332E-3"/>
                  <c:y val="-6.9444444444444531E-2"/>
                </c:manualLayout>
              </c:layout>
              <c:showLegendKey val="0"/>
              <c:showVal val="1"/>
              <c:showCatName val="0"/>
              <c:showSerName val="0"/>
              <c:showPercent val="0"/>
              <c:showBubbleSize val="0"/>
            </c:dLbl>
            <c:dLbl>
              <c:idx val="11"/>
              <c:layout>
                <c:manualLayout>
                  <c:x val="1.1111111111111112E-2"/>
                  <c:y val="-6.48148148148147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Sheet1!$C$1:$C$12</c:f>
              <c:strCache>
                <c:ptCount val="12"/>
                <c:pt idx="0">
                  <c:v>杰出校友</c:v>
                </c:pt>
                <c:pt idx="1">
                  <c:v>高端科研成果</c:v>
                </c:pt>
                <c:pt idx="2">
                  <c:v>杰出师资</c:v>
                </c:pt>
                <c:pt idx="3">
                  <c:v>教学水平</c:v>
                </c:pt>
                <c:pt idx="4">
                  <c:v>学科建设</c:v>
                </c:pt>
                <c:pt idx="5">
                  <c:v>创新基地</c:v>
                </c:pt>
                <c:pt idx="6">
                  <c:v>基础科研项目</c:v>
                </c:pt>
                <c:pt idx="7">
                  <c:v>校友捐赠</c:v>
                </c:pt>
                <c:pt idx="8">
                  <c:v>国际影响力</c:v>
                </c:pt>
                <c:pt idx="9">
                  <c:v>媒体影响力</c:v>
                </c:pt>
                <c:pt idx="10">
                  <c:v>生源竞争力</c:v>
                </c:pt>
                <c:pt idx="11">
                  <c:v>办学层次</c:v>
                </c:pt>
              </c:strCache>
            </c:strRef>
          </c:cat>
          <c:val>
            <c:numRef>
              <c:f>Sheet1!$D$1:$D$12</c:f>
              <c:numCache>
                <c:formatCode>0.00%</c:formatCode>
                <c:ptCount val="12"/>
                <c:pt idx="0">
                  <c:v>0.16</c:v>
                </c:pt>
                <c:pt idx="1">
                  <c:v>0.16</c:v>
                </c:pt>
                <c:pt idx="2">
                  <c:v>0.12</c:v>
                </c:pt>
                <c:pt idx="3">
                  <c:v>0.104</c:v>
                </c:pt>
                <c:pt idx="4">
                  <c:v>9.6000000000000002E-2</c:v>
                </c:pt>
                <c:pt idx="5">
                  <c:v>9.6000000000000002E-2</c:v>
                </c:pt>
                <c:pt idx="6">
                  <c:v>9.6000000000000002E-2</c:v>
                </c:pt>
                <c:pt idx="7">
                  <c:v>0.05</c:v>
                </c:pt>
                <c:pt idx="8">
                  <c:v>4.3999999999999997E-2</c:v>
                </c:pt>
                <c:pt idx="9">
                  <c:v>3.2000000000000001E-2</c:v>
                </c:pt>
                <c:pt idx="10">
                  <c:v>2.1999999999999999E-2</c:v>
                </c:pt>
                <c:pt idx="11">
                  <c:v>0.02</c:v>
                </c:pt>
              </c:numCache>
            </c:numRef>
          </c:val>
        </c:ser>
        <c:dLbls>
          <c:showLegendKey val="0"/>
          <c:showVal val="0"/>
          <c:showCatName val="0"/>
          <c:showSerName val="0"/>
          <c:showPercent val="0"/>
          <c:showBubbleSize val="0"/>
        </c:dLbls>
        <c:gapWidth val="150"/>
        <c:overlap val="100"/>
        <c:axId val="117505408"/>
        <c:axId val="117507200"/>
      </c:barChart>
      <c:catAx>
        <c:axId val="117505408"/>
        <c:scaling>
          <c:orientation val="minMax"/>
        </c:scaling>
        <c:delete val="0"/>
        <c:axPos val="b"/>
        <c:majorTickMark val="out"/>
        <c:minorTickMark val="none"/>
        <c:tickLblPos val="nextTo"/>
        <c:crossAx val="117507200"/>
        <c:crosses val="autoZero"/>
        <c:auto val="1"/>
        <c:lblAlgn val="ctr"/>
        <c:lblOffset val="100"/>
        <c:noMultiLvlLbl val="0"/>
      </c:catAx>
      <c:valAx>
        <c:axId val="117507200"/>
        <c:scaling>
          <c:orientation val="minMax"/>
        </c:scaling>
        <c:delete val="0"/>
        <c:axPos val="l"/>
        <c:majorGridlines/>
        <c:numFmt formatCode="0.00%" sourceLinked="1"/>
        <c:majorTickMark val="out"/>
        <c:minorTickMark val="none"/>
        <c:tickLblPos val="nextTo"/>
        <c:crossAx val="1175054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AEFA-F716-4836-9BD7-07A26DA4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8</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402</cp:revision>
  <cp:lastPrinted>2015-08-23T07:56:00Z</cp:lastPrinted>
  <dcterms:created xsi:type="dcterms:W3CDTF">2015-05-05T05:38:00Z</dcterms:created>
  <dcterms:modified xsi:type="dcterms:W3CDTF">2015-09-08T07:44:00Z</dcterms:modified>
</cp:coreProperties>
</file>